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728" w:rsidRPr="00224728" w:rsidRDefault="00224728">
      <w:pPr>
        <w:rPr>
          <w:b/>
        </w:rPr>
      </w:pPr>
      <w:r w:rsidRPr="00224728">
        <w:rPr>
          <w:b/>
        </w:rPr>
        <w:t xml:space="preserve"> “</w:t>
      </w:r>
      <w:r w:rsidR="00EE63CD" w:rsidRPr="00EE63CD">
        <w:rPr>
          <w:b/>
        </w:rPr>
        <w:t>An Empirical Analysis of Lawmaking during Crises</w:t>
      </w:r>
      <w:r w:rsidR="00EE63CD">
        <w:rPr>
          <w:b/>
        </w:rPr>
        <w:t>”</w:t>
      </w:r>
    </w:p>
    <w:p w:rsidR="00EE63CD" w:rsidRPr="00EE63CD" w:rsidRDefault="00EE63CD">
      <w:r w:rsidRPr="00EE63CD">
        <w:t>Key tables and Figures</w:t>
      </w:r>
    </w:p>
    <w:p w:rsidR="00224728" w:rsidRDefault="00224728">
      <w:r>
        <w:t>Wolf von Laer</w:t>
      </w:r>
    </w:p>
    <w:p w:rsidR="00224728" w:rsidRDefault="00224728">
      <w:pPr>
        <w:rPr>
          <w:b/>
        </w:rPr>
      </w:pPr>
    </w:p>
    <w:p w:rsidR="00224728" w:rsidRDefault="00224728">
      <w:r w:rsidRPr="00224728">
        <w:rPr>
          <w:b/>
        </w:rPr>
        <w:t>Please do not cite without permission</w:t>
      </w:r>
      <w:r>
        <w:rPr>
          <w:b/>
        </w:rPr>
        <w:t xml:space="preserve">! </w:t>
      </w:r>
      <w:r w:rsidR="00256F13">
        <w:rPr>
          <w:b/>
        </w:rPr>
        <w:t xml:space="preserve">Contact </w:t>
      </w:r>
      <w:hyperlink r:id="rId8" w:history="1">
        <w:r w:rsidR="00256F13" w:rsidRPr="00156342">
          <w:rPr>
            <w:rStyle w:val="Hyperlink"/>
            <w:b/>
          </w:rPr>
          <w:t>wolf.vonlaer@gmail.com</w:t>
        </w:r>
      </w:hyperlink>
      <w:r w:rsidR="00256F13">
        <w:rPr>
          <w:b/>
        </w:rPr>
        <w:t xml:space="preserve"> if you want to use any of the following data.</w:t>
      </w:r>
      <w:bookmarkStart w:id="0" w:name="_GoBack"/>
      <w:bookmarkEnd w:id="0"/>
    </w:p>
    <w:p w:rsidR="00224728" w:rsidRDefault="00224728">
      <w:r>
        <w:t>The data is updated constantly and my PhD is work in progress.</w:t>
      </w:r>
    </w:p>
    <w:tbl>
      <w:tblPr>
        <w:tblStyle w:val="TableGrid"/>
        <w:tblW w:w="0" w:type="auto"/>
        <w:tblLook w:val="04A0" w:firstRow="1" w:lastRow="0" w:firstColumn="1" w:lastColumn="0" w:noHBand="0" w:noVBand="1"/>
      </w:tblPr>
      <w:tblGrid>
        <w:gridCol w:w="2369"/>
        <w:gridCol w:w="2429"/>
        <w:gridCol w:w="2178"/>
      </w:tblGrid>
      <w:tr w:rsidR="00224728" w:rsidTr="00122A3C">
        <w:trPr>
          <w:trHeight w:val="530"/>
        </w:trPr>
        <w:tc>
          <w:tcPr>
            <w:tcW w:w="6976" w:type="dxa"/>
            <w:gridSpan w:val="3"/>
          </w:tcPr>
          <w:p w:rsidR="00224728" w:rsidRDefault="00EB219D" w:rsidP="002E6C13">
            <w:pPr>
              <w:spacing w:line="240" w:lineRule="auto"/>
            </w:pPr>
            <w:r>
              <w:t>Table XXX: NBER C</w:t>
            </w:r>
            <w:r w:rsidR="00224728">
              <w:t>ris</w:t>
            </w:r>
            <w:r>
              <w:t xml:space="preserve">is </w:t>
            </w:r>
            <w:r w:rsidR="002E6C13">
              <w:t>P</w:t>
            </w:r>
            <w:r>
              <w:t>eriods</w:t>
            </w:r>
          </w:p>
        </w:tc>
      </w:tr>
      <w:tr w:rsidR="00303FF1" w:rsidTr="009114F5">
        <w:trPr>
          <w:trHeight w:val="530"/>
        </w:trPr>
        <w:tc>
          <w:tcPr>
            <w:tcW w:w="2369" w:type="dxa"/>
          </w:tcPr>
          <w:p w:rsidR="00303FF1" w:rsidRDefault="00303FF1" w:rsidP="00E060A8">
            <w:pPr>
              <w:spacing w:line="240" w:lineRule="auto"/>
            </w:pPr>
            <w:r>
              <w:t xml:space="preserve">Start </w:t>
            </w:r>
          </w:p>
        </w:tc>
        <w:tc>
          <w:tcPr>
            <w:tcW w:w="2429" w:type="dxa"/>
          </w:tcPr>
          <w:p w:rsidR="00303FF1" w:rsidRDefault="00303FF1" w:rsidP="00E060A8">
            <w:pPr>
              <w:spacing w:line="240" w:lineRule="auto"/>
            </w:pPr>
            <w:r>
              <w:t>End</w:t>
            </w:r>
          </w:p>
        </w:tc>
        <w:tc>
          <w:tcPr>
            <w:tcW w:w="2178" w:type="dxa"/>
          </w:tcPr>
          <w:p w:rsidR="00303FF1" w:rsidRDefault="00303FF1" w:rsidP="00E060A8">
            <w:pPr>
              <w:spacing w:line="240" w:lineRule="auto"/>
            </w:pPr>
            <w:r>
              <w:t>Months</w:t>
            </w:r>
          </w:p>
        </w:tc>
      </w:tr>
      <w:tr w:rsidR="00303FF1" w:rsidTr="009114F5">
        <w:tc>
          <w:tcPr>
            <w:tcW w:w="2369" w:type="dxa"/>
          </w:tcPr>
          <w:p w:rsidR="00303FF1" w:rsidRDefault="00303FF1" w:rsidP="00E060A8">
            <w:pPr>
              <w:spacing w:line="240" w:lineRule="auto"/>
            </w:pPr>
            <w:r>
              <w:t xml:space="preserve">November 1973 </w:t>
            </w:r>
          </w:p>
        </w:tc>
        <w:tc>
          <w:tcPr>
            <w:tcW w:w="2429" w:type="dxa"/>
          </w:tcPr>
          <w:p w:rsidR="00303FF1" w:rsidRDefault="00303FF1" w:rsidP="00E060A8">
            <w:pPr>
              <w:spacing w:line="240" w:lineRule="auto"/>
            </w:pPr>
            <w:r>
              <w:t>March 1975</w:t>
            </w:r>
          </w:p>
        </w:tc>
        <w:tc>
          <w:tcPr>
            <w:tcW w:w="2178" w:type="dxa"/>
          </w:tcPr>
          <w:p w:rsidR="00303FF1" w:rsidRDefault="00303FF1" w:rsidP="00E060A8">
            <w:pPr>
              <w:spacing w:line="240" w:lineRule="auto"/>
            </w:pPr>
            <w:r>
              <w:t>16</w:t>
            </w:r>
          </w:p>
        </w:tc>
      </w:tr>
      <w:tr w:rsidR="00303FF1" w:rsidTr="009114F5">
        <w:tc>
          <w:tcPr>
            <w:tcW w:w="2369" w:type="dxa"/>
          </w:tcPr>
          <w:p w:rsidR="00303FF1" w:rsidRDefault="00303FF1" w:rsidP="00E060A8">
            <w:pPr>
              <w:spacing w:line="240" w:lineRule="auto"/>
            </w:pPr>
            <w:r>
              <w:t>January 1980</w:t>
            </w:r>
          </w:p>
        </w:tc>
        <w:tc>
          <w:tcPr>
            <w:tcW w:w="2429" w:type="dxa"/>
          </w:tcPr>
          <w:p w:rsidR="00303FF1" w:rsidRDefault="00303FF1" w:rsidP="00E060A8">
            <w:pPr>
              <w:spacing w:line="240" w:lineRule="auto"/>
            </w:pPr>
            <w:r>
              <w:t>July 1980</w:t>
            </w:r>
          </w:p>
        </w:tc>
        <w:tc>
          <w:tcPr>
            <w:tcW w:w="2178" w:type="dxa"/>
          </w:tcPr>
          <w:p w:rsidR="00303FF1" w:rsidRDefault="00303FF1" w:rsidP="00E060A8">
            <w:pPr>
              <w:spacing w:line="240" w:lineRule="auto"/>
            </w:pPr>
            <w:r>
              <w:t>6</w:t>
            </w:r>
          </w:p>
        </w:tc>
      </w:tr>
      <w:tr w:rsidR="00303FF1" w:rsidTr="009114F5">
        <w:tc>
          <w:tcPr>
            <w:tcW w:w="2369" w:type="dxa"/>
          </w:tcPr>
          <w:p w:rsidR="00303FF1" w:rsidRDefault="00303FF1" w:rsidP="00E060A8">
            <w:pPr>
              <w:spacing w:line="240" w:lineRule="auto"/>
            </w:pPr>
            <w:r>
              <w:t>July 1981</w:t>
            </w:r>
          </w:p>
        </w:tc>
        <w:tc>
          <w:tcPr>
            <w:tcW w:w="2429" w:type="dxa"/>
          </w:tcPr>
          <w:p w:rsidR="00303FF1" w:rsidRDefault="00303FF1" w:rsidP="00E060A8">
            <w:pPr>
              <w:spacing w:line="240" w:lineRule="auto"/>
            </w:pPr>
            <w:r>
              <w:t>November 1982</w:t>
            </w:r>
          </w:p>
        </w:tc>
        <w:tc>
          <w:tcPr>
            <w:tcW w:w="2178" w:type="dxa"/>
          </w:tcPr>
          <w:p w:rsidR="00303FF1" w:rsidRDefault="00303FF1" w:rsidP="00E060A8">
            <w:pPr>
              <w:spacing w:line="240" w:lineRule="auto"/>
            </w:pPr>
            <w:r>
              <w:t>16</w:t>
            </w:r>
          </w:p>
        </w:tc>
      </w:tr>
      <w:tr w:rsidR="00303FF1" w:rsidTr="009114F5">
        <w:tc>
          <w:tcPr>
            <w:tcW w:w="2369" w:type="dxa"/>
          </w:tcPr>
          <w:p w:rsidR="00303FF1" w:rsidRDefault="00303FF1" w:rsidP="00E060A8">
            <w:pPr>
              <w:spacing w:line="240" w:lineRule="auto"/>
            </w:pPr>
            <w:r>
              <w:t>July 1990</w:t>
            </w:r>
          </w:p>
        </w:tc>
        <w:tc>
          <w:tcPr>
            <w:tcW w:w="2429" w:type="dxa"/>
          </w:tcPr>
          <w:p w:rsidR="00303FF1" w:rsidRDefault="00303FF1" w:rsidP="00E060A8">
            <w:pPr>
              <w:spacing w:line="240" w:lineRule="auto"/>
            </w:pPr>
            <w:r>
              <w:t>March 1991</w:t>
            </w:r>
          </w:p>
        </w:tc>
        <w:tc>
          <w:tcPr>
            <w:tcW w:w="2178" w:type="dxa"/>
          </w:tcPr>
          <w:p w:rsidR="00303FF1" w:rsidRDefault="00303FF1" w:rsidP="00E060A8">
            <w:pPr>
              <w:spacing w:line="240" w:lineRule="auto"/>
            </w:pPr>
            <w:r>
              <w:t>8</w:t>
            </w:r>
          </w:p>
        </w:tc>
      </w:tr>
      <w:tr w:rsidR="00303FF1" w:rsidTr="009114F5">
        <w:tc>
          <w:tcPr>
            <w:tcW w:w="2369" w:type="dxa"/>
          </w:tcPr>
          <w:p w:rsidR="00303FF1" w:rsidRDefault="00303FF1" w:rsidP="00E060A8">
            <w:pPr>
              <w:spacing w:line="240" w:lineRule="auto"/>
            </w:pPr>
            <w:r>
              <w:t>March 2001</w:t>
            </w:r>
          </w:p>
        </w:tc>
        <w:tc>
          <w:tcPr>
            <w:tcW w:w="2429" w:type="dxa"/>
          </w:tcPr>
          <w:p w:rsidR="00303FF1" w:rsidRDefault="00303FF1" w:rsidP="00E060A8">
            <w:pPr>
              <w:spacing w:line="240" w:lineRule="auto"/>
            </w:pPr>
            <w:r>
              <w:t>November 2001</w:t>
            </w:r>
          </w:p>
        </w:tc>
        <w:tc>
          <w:tcPr>
            <w:tcW w:w="2178" w:type="dxa"/>
          </w:tcPr>
          <w:p w:rsidR="00303FF1" w:rsidRDefault="00303FF1" w:rsidP="00E060A8">
            <w:pPr>
              <w:spacing w:line="240" w:lineRule="auto"/>
            </w:pPr>
            <w:r>
              <w:t>8</w:t>
            </w:r>
          </w:p>
        </w:tc>
      </w:tr>
      <w:tr w:rsidR="00303FF1" w:rsidTr="009114F5">
        <w:tc>
          <w:tcPr>
            <w:tcW w:w="2369" w:type="dxa"/>
          </w:tcPr>
          <w:p w:rsidR="00303FF1" w:rsidRDefault="00303FF1" w:rsidP="00E060A8">
            <w:pPr>
              <w:spacing w:line="240" w:lineRule="auto"/>
            </w:pPr>
            <w:r>
              <w:t>December 2007</w:t>
            </w:r>
          </w:p>
        </w:tc>
        <w:tc>
          <w:tcPr>
            <w:tcW w:w="2429" w:type="dxa"/>
          </w:tcPr>
          <w:p w:rsidR="00303FF1" w:rsidRDefault="00303FF1" w:rsidP="00E060A8">
            <w:pPr>
              <w:spacing w:line="240" w:lineRule="auto"/>
            </w:pPr>
            <w:r>
              <w:t>June 2009</w:t>
            </w:r>
          </w:p>
        </w:tc>
        <w:tc>
          <w:tcPr>
            <w:tcW w:w="2178" w:type="dxa"/>
          </w:tcPr>
          <w:p w:rsidR="00303FF1" w:rsidRDefault="00303FF1" w:rsidP="00E060A8">
            <w:pPr>
              <w:spacing w:line="240" w:lineRule="auto"/>
            </w:pPr>
            <w:r>
              <w:t>18</w:t>
            </w:r>
          </w:p>
        </w:tc>
      </w:tr>
    </w:tbl>
    <w:p w:rsidR="004B4C69" w:rsidRDefault="004B4C69" w:rsidP="00E060A8">
      <w:pPr>
        <w:spacing w:line="240" w:lineRule="auto"/>
      </w:pPr>
    </w:p>
    <w:p w:rsidR="00424F76" w:rsidRDefault="00424F76" w:rsidP="00424F76">
      <w:pPr>
        <w:spacing w:line="240" w:lineRule="auto"/>
        <w:rPr>
          <w:b/>
        </w:rPr>
      </w:pPr>
    </w:p>
    <w:tbl>
      <w:tblPr>
        <w:tblStyle w:val="TableGrid1"/>
        <w:tblW w:w="5000" w:type="pct"/>
        <w:tblLayout w:type="fixed"/>
        <w:tblLook w:val="04A0" w:firstRow="1" w:lastRow="0" w:firstColumn="1" w:lastColumn="0" w:noHBand="0" w:noVBand="1"/>
      </w:tblPr>
      <w:tblGrid>
        <w:gridCol w:w="1454"/>
        <w:gridCol w:w="910"/>
        <w:gridCol w:w="1038"/>
        <w:gridCol w:w="913"/>
        <w:gridCol w:w="995"/>
        <w:gridCol w:w="894"/>
        <w:gridCol w:w="1081"/>
        <w:gridCol w:w="1158"/>
        <w:gridCol w:w="907"/>
      </w:tblGrid>
      <w:tr w:rsidR="00B243C7" w:rsidRPr="007B3FC9" w:rsidTr="00AA1B9F">
        <w:tc>
          <w:tcPr>
            <w:tcW w:w="5000" w:type="pct"/>
            <w:gridSpan w:val="9"/>
          </w:tcPr>
          <w:p w:rsidR="00B243C7" w:rsidRPr="007B3FC9" w:rsidRDefault="00B243C7" w:rsidP="00AA1B9F">
            <w:pPr>
              <w:spacing w:line="240" w:lineRule="auto"/>
              <w:rPr>
                <w:b/>
              </w:rPr>
            </w:pPr>
            <w:r w:rsidRPr="007B3FC9">
              <w:rPr>
                <w:b/>
              </w:rPr>
              <w:t xml:space="preserve">Table XXX: Comparison of all crisis periods </w:t>
            </w:r>
          </w:p>
        </w:tc>
      </w:tr>
      <w:tr w:rsidR="00B243C7" w:rsidRPr="007B3FC9" w:rsidTr="00AA1B9F">
        <w:tc>
          <w:tcPr>
            <w:tcW w:w="778" w:type="pct"/>
          </w:tcPr>
          <w:p w:rsidR="00B243C7" w:rsidRPr="007B3FC9" w:rsidRDefault="00B243C7" w:rsidP="00AA1B9F">
            <w:pPr>
              <w:spacing w:line="240" w:lineRule="auto"/>
              <w:rPr>
                <w:sz w:val="22"/>
              </w:rPr>
            </w:pPr>
          </w:p>
        </w:tc>
        <w:tc>
          <w:tcPr>
            <w:tcW w:w="487" w:type="pct"/>
          </w:tcPr>
          <w:p w:rsidR="00B243C7" w:rsidRPr="007B3FC9" w:rsidRDefault="00B243C7" w:rsidP="00AA1B9F">
            <w:pPr>
              <w:spacing w:line="240" w:lineRule="auto"/>
              <w:rPr>
                <w:b/>
                <w:sz w:val="22"/>
              </w:rPr>
            </w:pPr>
            <w:r w:rsidRPr="007B3FC9">
              <w:rPr>
                <w:b/>
                <w:sz w:val="22"/>
              </w:rPr>
              <w:t>Mid- 1970s</w:t>
            </w:r>
          </w:p>
        </w:tc>
        <w:tc>
          <w:tcPr>
            <w:tcW w:w="555" w:type="pct"/>
          </w:tcPr>
          <w:p w:rsidR="00B243C7" w:rsidRPr="007B3FC9" w:rsidRDefault="00B243C7" w:rsidP="00AA1B9F">
            <w:pPr>
              <w:spacing w:line="240" w:lineRule="auto"/>
              <w:rPr>
                <w:b/>
                <w:sz w:val="22"/>
              </w:rPr>
            </w:pPr>
            <w:r w:rsidRPr="007B3FC9">
              <w:rPr>
                <w:b/>
                <w:sz w:val="22"/>
              </w:rPr>
              <w:t xml:space="preserve">Early 1980s </w:t>
            </w:r>
          </w:p>
        </w:tc>
        <w:tc>
          <w:tcPr>
            <w:tcW w:w="488" w:type="pct"/>
          </w:tcPr>
          <w:p w:rsidR="00B243C7" w:rsidRPr="007B3FC9" w:rsidRDefault="00B243C7" w:rsidP="00AA1B9F">
            <w:pPr>
              <w:spacing w:line="240" w:lineRule="auto"/>
              <w:rPr>
                <w:b/>
                <w:sz w:val="22"/>
              </w:rPr>
            </w:pPr>
            <w:r w:rsidRPr="007B3FC9">
              <w:rPr>
                <w:b/>
                <w:sz w:val="22"/>
              </w:rPr>
              <w:t>Early 1990s</w:t>
            </w:r>
          </w:p>
        </w:tc>
        <w:tc>
          <w:tcPr>
            <w:tcW w:w="532" w:type="pct"/>
          </w:tcPr>
          <w:p w:rsidR="00B243C7" w:rsidRPr="007B3FC9" w:rsidRDefault="00B243C7" w:rsidP="00AA1B9F">
            <w:pPr>
              <w:spacing w:line="240" w:lineRule="auto"/>
              <w:rPr>
                <w:b/>
                <w:sz w:val="22"/>
              </w:rPr>
            </w:pPr>
            <w:r w:rsidRPr="007B3FC9">
              <w:rPr>
                <w:b/>
                <w:sz w:val="22"/>
              </w:rPr>
              <w:t>Dot-Com</w:t>
            </w:r>
          </w:p>
        </w:tc>
        <w:tc>
          <w:tcPr>
            <w:tcW w:w="478" w:type="pct"/>
          </w:tcPr>
          <w:p w:rsidR="00B243C7" w:rsidRPr="007B3FC9" w:rsidRDefault="00B243C7" w:rsidP="00AA1B9F">
            <w:pPr>
              <w:spacing w:line="240" w:lineRule="auto"/>
              <w:rPr>
                <w:b/>
                <w:sz w:val="22"/>
              </w:rPr>
            </w:pPr>
            <w:r w:rsidRPr="007B3FC9">
              <w:rPr>
                <w:b/>
                <w:sz w:val="22"/>
              </w:rPr>
              <w:t>Great Recession</w:t>
            </w:r>
          </w:p>
        </w:tc>
        <w:tc>
          <w:tcPr>
            <w:tcW w:w="578" w:type="pct"/>
          </w:tcPr>
          <w:p w:rsidR="00B243C7" w:rsidRPr="007B3FC9" w:rsidRDefault="00B243C7" w:rsidP="00AA1B9F">
            <w:pPr>
              <w:spacing w:line="240" w:lineRule="auto"/>
              <w:rPr>
                <w:b/>
                <w:sz w:val="22"/>
              </w:rPr>
            </w:pPr>
            <w:r w:rsidRPr="007B3FC9">
              <w:rPr>
                <w:b/>
                <w:sz w:val="22"/>
              </w:rPr>
              <w:t>All Crisis Laws</w:t>
            </w:r>
          </w:p>
        </w:tc>
        <w:tc>
          <w:tcPr>
            <w:tcW w:w="619" w:type="pct"/>
          </w:tcPr>
          <w:p w:rsidR="00B243C7" w:rsidRPr="007B3FC9" w:rsidRDefault="00B243C7" w:rsidP="00AA1B9F">
            <w:pPr>
              <w:spacing w:line="240" w:lineRule="auto"/>
              <w:rPr>
                <w:b/>
                <w:sz w:val="22"/>
              </w:rPr>
            </w:pPr>
            <w:r w:rsidRPr="007B3FC9">
              <w:rPr>
                <w:b/>
                <w:sz w:val="22"/>
              </w:rPr>
              <w:t>Comparison Laws</w:t>
            </w:r>
          </w:p>
        </w:tc>
        <w:tc>
          <w:tcPr>
            <w:tcW w:w="485" w:type="pct"/>
          </w:tcPr>
          <w:p w:rsidR="00B243C7" w:rsidRPr="007B3FC9" w:rsidRDefault="00B243C7" w:rsidP="00AA1B9F">
            <w:pPr>
              <w:spacing w:line="240" w:lineRule="auto"/>
              <w:rPr>
                <w:b/>
                <w:sz w:val="22"/>
              </w:rPr>
            </w:pPr>
            <w:r w:rsidRPr="007B3FC9">
              <w:rPr>
                <w:b/>
                <w:sz w:val="22"/>
              </w:rPr>
              <w:t>All laws</w:t>
            </w:r>
          </w:p>
        </w:tc>
      </w:tr>
      <w:tr w:rsidR="00B243C7" w:rsidRPr="007B3FC9" w:rsidTr="00AA1B9F">
        <w:tc>
          <w:tcPr>
            <w:tcW w:w="778" w:type="pct"/>
          </w:tcPr>
          <w:p w:rsidR="00B243C7" w:rsidRPr="007B3FC9" w:rsidRDefault="00B243C7" w:rsidP="00AA1B9F">
            <w:pPr>
              <w:spacing w:line="240" w:lineRule="auto"/>
              <w:rPr>
                <w:sz w:val="22"/>
              </w:rPr>
            </w:pPr>
            <w:r w:rsidRPr="007B3FC9">
              <w:rPr>
                <w:sz w:val="22"/>
              </w:rPr>
              <w:t xml:space="preserve">Number of laws </w:t>
            </w:r>
          </w:p>
        </w:tc>
        <w:tc>
          <w:tcPr>
            <w:tcW w:w="487" w:type="pct"/>
          </w:tcPr>
          <w:p w:rsidR="00B243C7" w:rsidRPr="007B3FC9" w:rsidRDefault="00B243C7" w:rsidP="00AA1B9F">
            <w:pPr>
              <w:spacing w:line="240" w:lineRule="auto"/>
              <w:rPr>
                <w:sz w:val="22"/>
              </w:rPr>
            </w:pPr>
            <w:r w:rsidRPr="007B3FC9">
              <w:rPr>
                <w:sz w:val="22"/>
              </w:rPr>
              <w:t>5</w:t>
            </w:r>
          </w:p>
        </w:tc>
        <w:tc>
          <w:tcPr>
            <w:tcW w:w="555" w:type="pct"/>
          </w:tcPr>
          <w:p w:rsidR="00B243C7" w:rsidRPr="007B3FC9" w:rsidRDefault="00B243C7" w:rsidP="00AA1B9F">
            <w:pPr>
              <w:spacing w:line="240" w:lineRule="auto"/>
              <w:rPr>
                <w:sz w:val="22"/>
              </w:rPr>
            </w:pPr>
            <w:r w:rsidRPr="007B3FC9">
              <w:rPr>
                <w:sz w:val="22"/>
              </w:rPr>
              <w:t>4</w:t>
            </w:r>
          </w:p>
        </w:tc>
        <w:tc>
          <w:tcPr>
            <w:tcW w:w="488" w:type="pct"/>
          </w:tcPr>
          <w:p w:rsidR="00B243C7" w:rsidRPr="007B3FC9" w:rsidRDefault="00B243C7" w:rsidP="00AA1B9F">
            <w:pPr>
              <w:spacing w:line="240" w:lineRule="auto"/>
              <w:rPr>
                <w:sz w:val="22"/>
              </w:rPr>
            </w:pPr>
            <w:r w:rsidRPr="007B3FC9">
              <w:rPr>
                <w:sz w:val="22"/>
              </w:rPr>
              <w:t>5</w:t>
            </w:r>
          </w:p>
        </w:tc>
        <w:tc>
          <w:tcPr>
            <w:tcW w:w="532" w:type="pct"/>
          </w:tcPr>
          <w:p w:rsidR="00B243C7" w:rsidRPr="007B3FC9" w:rsidRDefault="00B243C7" w:rsidP="00AA1B9F">
            <w:pPr>
              <w:spacing w:line="240" w:lineRule="auto"/>
              <w:rPr>
                <w:sz w:val="22"/>
              </w:rPr>
            </w:pPr>
            <w:r w:rsidRPr="007B3FC9">
              <w:rPr>
                <w:sz w:val="22"/>
              </w:rPr>
              <w:t>2</w:t>
            </w:r>
          </w:p>
        </w:tc>
        <w:tc>
          <w:tcPr>
            <w:tcW w:w="478" w:type="pct"/>
          </w:tcPr>
          <w:p w:rsidR="00B243C7" w:rsidRPr="007B3FC9" w:rsidRDefault="00B243C7" w:rsidP="00AA1B9F">
            <w:pPr>
              <w:spacing w:line="240" w:lineRule="auto"/>
              <w:rPr>
                <w:sz w:val="22"/>
              </w:rPr>
            </w:pPr>
            <w:r w:rsidRPr="007B3FC9">
              <w:rPr>
                <w:sz w:val="22"/>
              </w:rPr>
              <w:t>7</w:t>
            </w:r>
          </w:p>
        </w:tc>
        <w:tc>
          <w:tcPr>
            <w:tcW w:w="578" w:type="pct"/>
          </w:tcPr>
          <w:p w:rsidR="00B243C7" w:rsidRPr="007B3FC9" w:rsidRDefault="00B243C7" w:rsidP="00AA1B9F">
            <w:pPr>
              <w:spacing w:line="240" w:lineRule="auto"/>
              <w:rPr>
                <w:sz w:val="22"/>
              </w:rPr>
            </w:pPr>
            <w:r w:rsidRPr="007B3FC9">
              <w:rPr>
                <w:sz w:val="22"/>
              </w:rPr>
              <w:t>23</w:t>
            </w:r>
          </w:p>
        </w:tc>
        <w:tc>
          <w:tcPr>
            <w:tcW w:w="619" w:type="pct"/>
          </w:tcPr>
          <w:p w:rsidR="00B243C7" w:rsidRPr="007B3FC9" w:rsidRDefault="00B243C7" w:rsidP="00AA1B9F">
            <w:pPr>
              <w:spacing w:line="240" w:lineRule="auto"/>
              <w:rPr>
                <w:sz w:val="22"/>
              </w:rPr>
            </w:pPr>
            <w:r w:rsidRPr="007B3FC9">
              <w:rPr>
                <w:sz w:val="22"/>
              </w:rPr>
              <w:t>51</w:t>
            </w:r>
          </w:p>
        </w:tc>
        <w:tc>
          <w:tcPr>
            <w:tcW w:w="485" w:type="pct"/>
          </w:tcPr>
          <w:p w:rsidR="00B243C7" w:rsidRPr="007B3FC9" w:rsidRDefault="00B243C7" w:rsidP="00AA1B9F">
            <w:pPr>
              <w:spacing w:line="240" w:lineRule="auto"/>
              <w:rPr>
                <w:sz w:val="22"/>
              </w:rPr>
            </w:pPr>
            <w:r>
              <w:rPr>
                <w:sz w:val="22"/>
              </w:rPr>
              <w:t>11,584</w:t>
            </w:r>
          </w:p>
        </w:tc>
      </w:tr>
      <w:tr w:rsidR="00B243C7" w:rsidRPr="007B3FC9" w:rsidTr="00AA1B9F">
        <w:tc>
          <w:tcPr>
            <w:tcW w:w="778" w:type="pct"/>
          </w:tcPr>
          <w:p w:rsidR="00B243C7" w:rsidRPr="007B3FC9" w:rsidRDefault="00B243C7" w:rsidP="00AA1B9F">
            <w:pPr>
              <w:spacing w:line="240" w:lineRule="auto"/>
              <w:rPr>
                <w:sz w:val="22"/>
              </w:rPr>
            </w:pPr>
            <w:r w:rsidRPr="007B3FC9">
              <w:rPr>
                <w:sz w:val="22"/>
              </w:rPr>
              <w:t>Average Words</w:t>
            </w:r>
          </w:p>
        </w:tc>
        <w:tc>
          <w:tcPr>
            <w:tcW w:w="487" w:type="pct"/>
          </w:tcPr>
          <w:p w:rsidR="00B243C7" w:rsidRPr="007B3FC9" w:rsidRDefault="00B243C7" w:rsidP="00AA1B9F">
            <w:pPr>
              <w:spacing w:line="240" w:lineRule="auto"/>
              <w:rPr>
                <w:rFonts w:eastAsia="Times New Roman" w:cs="Times New Roman"/>
                <w:bCs/>
                <w:color w:val="000000"/>
                <w:sz w:val="22"/>
              </w:rPr>
            </w:pPr>
            <w:r w:rsidRPr="007B3FC9">
              <w:rPr>
                <w:rFonts w:eastAsia="Times New Roman" w:cs="Times New Roman"/>
                <w:bCs/>
                <w:color w:val="000000"/>
                <w:sz w:val="22"/>
              </w:rPr>
              <w:t>18,826.2</w:t>
            </w:r>
          </w:p>
        </w:tc>
        <w:tc>
          <w:tcPr>
            <w:tcW w:w="555" w:type="pct"/>
          </w:tcPr>
          <w:p w:rsidR="00B243C7" w:rsidRPr="007B3FC9" w:rsidRDefault="00B243C7" w:rsidP="00AA1B9F">
            <w:pPr>
              <w:spacing w:line="240" w:lineRule="auto"/>
              <w:rPr>
                <w:bCs/>
                <w:color w:val="000000"/>
                <w:sz w:val="22"/>
              </w:rPr>
            </w:pPr>
            <w:r w:rsidRPr="007B3FC9">
              <w:rPr>
                <w:bCs/>
                <w:color w:val="000000"/>
                <w:sz w:val="22"/>
              </w:rPr>
              <w:t>41,579.25</w:t>
            </w:r>
          </w:p>
          <w:p w:rsidR="00B243C7" w:rsidRPr="007B3FC9" w:rsidRDefault="00B243C7" w:rsidP="00AA1B9F">
            <w:pPr>
              <w:spacing w:line="240" w:lineRule="auto"/>
              <w:rPr>
                <w:rFonts w:eastAsia="Times New Roman" w:cs="Times New Roman"/>
                <w:bCs/>
                <w:color w:val="000000"/>
                <w:sz w:val="22"/>
              </w:rPr>
            </w:pPr>
          </w:p>
        </w:tc>
        <w:tc>
          <w:tcPr>
            <w:tcW w:w="488" w:type="pct"/>
          </w:tcPr>
          <w:p w:rsidR="00B243C7" w:rsidRPr="007B3FC9" w:rsidRDefault="00B243C7" w:rsidP="00AA1B9F">
            <w:pPr>
              <w:spacing w:line="240" w:lineRule="auto"/>
              <w:rPr>
                <w:color w:val="000000"/>
                <w:sz w:val="22"/>
              </w:rPr>
            </w:pPr>
            <w:r w:rsidRPr="007B3FC9">
              <w:rPr>
                <w:color w:val="000000"/>
                <w:sz w:val="22"/>
              </w:rPr>
              <w:t>20,661.4</w:t>
            </w:r>
          </w:p>
          <w:p w:rsidR="00B243C7" w:rsidRPr="007B3FC9" w:rsidRDefault="00B243C7" w:rsidP="00AA1B9F">
            <w:pPr>
              <w:spacing w:line="240" w:lineRule="auto"/>
              <w:rPr>
                <w:sz w:val="22"/>
              </w:rPr>
            </w:pPr>
          </w:p>
        </w:tc>
        <w:tc>
          <w:tcPr>
            <w:tcW w:w="532" w:type="pct"/>
          </w:tcPr>
          <w:p w:rsidR="00B243C7" w:rsidRPr="007B3FC9" w:rsidRDefault="00B243C7" w:rsidP="00AA1B9F">
            <w:pPr>
              <w:spacing w:line="240" w:lineRule="auto"/>
              <w:rPr>
                <w:sz w:val="22"/>
              </w:rPr>
            </w:pPr>
            <w:r w:rsidRPr="007B3FC9">
              <w:rPr>
                <w:sz w:val="22"/>
              </w:rPr>
              <w:t>23,171.5</w:t>
            </w:r>
          </w:p>
        </w:tc>
        <w:tc>
          <w:tcPr>
            <w:tcW w:w="478" w:type="pct"/>
          </w:tcPr>
          <w:p w:rsidR="00B243C7" w:rsidRPr="007B3FC9" w:rsidRDefault="00B243C7" w:rsidP="00AA1B9F">
            <w:pPr>
              <w:spacing w:line="240" w:lineRule="auto"/>
              <w:rPr>
                <w:sz w:val="22"/>
              </w:rPr>
            </w:pPr>
            <w:r w:rsidRPr="007B3FC9">
              <w:rPr>
                <w:sz w:val="22"/>
              </w:rPr>
              <w:t xml:space="preserve">106,328 </w:t>
            </w:r>
          </w:p>
        </w:tc>
        <w:tc>
          <w:tcPr>
            <w:tcW w:w="578" w:type="pct"/>
          </w:tcPr>
          <w:p w:rsidR="00B243C7" w:rsidRPr="007B3FC9" w:rsidRDefault="00B243C7" w:rsidP="00AA1B9F">
            <w:pPr>
              <w:spacing w:line="240" w:lineRule="auto"/>
              <w:rPr>
                <w:color w:val="000000"/>
                <w:sz w:val="22"/>
              </w:rPr>
            </w:pPr>
            <w:r w:rsidRPr="007B3FC9">
              <w:rPr>
                <w:color w:val="000000"/>
                <w:sz w:val="22"/>
              </w:rPr>
              <w:t>50,191</w:t>
            </w:r>
          </w:p>
        </w:tc>
        <w:tc>
          <w:tcPr>
            <w:tcW w:w="619" w:type="pct"/>
          </w:tcPr>
          <w:p w:rsidR="00B243C7" w:rsidRPr="007B3FC9" w:rsidRDefault="00B243C7" w:rsidP="00AA1B9F">
            <w:pPr>
              <w:spacing w:line="240" w:lineRule="auto"/>
              <w:rPr>
                <w:color w:val="000000"/>
                <w:sz w:val="22"/>
              </w:rPr>
            </w:pPr>
            <w:r w:rsidRPr="007B3FC9">
              <w:rPr>
                <w:color w:val="000000"/>
                <w:sz w:val="22"/>
              </w:rPr>
              <w:t>16,764.3</w:t>
            </w:r>
          </w:p>
          <w:p w:rsidR="00B243C7" w:rsidRPr="007B3FC9" w:rsidRDefault="00B243C7" w:rsidP="00AA1B9F">
            <w:pPr>
              <w:spacing w:line="240" w:lineRule="auto"/>
              <w:rPr>
                <w:sz w:val="22"/>
              </w:rPr>
            </w:pPr>
          </w:p>
        </w:tc>
        <w:tc>
          <w:tcPr>
            <w:tcW w:w="485" w:type="pct"/>
          </w:tcPr>
          <w:p w:rsidR="00B243C7" w:rsidRPr="007B3FC9" w:rsidRDefault="00B243C7" w:rsidP="00AA1B9F">
            <w:pPr>
              <w:spacing w:line="240" w:lineRule="auto"/>
              <w:rPr>
                <w:sz w:val="22"/>
              </w:rPr>
            </w:pPr>
            <w:r>
              <w:rPr>
                <w:sz w:val="22"/>
              </w:rPr>
              <w:t>4,895.69</w:t>
            </w:r>
          </w:p>
        </w:tc>
      </w:tr>
      <w:tr w:rsidR="00B243C7" w:rsidRPr="007B3FC9" w:rsidTr="00AA1B9F">
        <w:tc>
          <w:tcPr>
            <w:tcW w:w="778" w:type="pct"/>
          </w:tcPr>
          <w:p w:rsidR="00B243C7" w:rsidRPr="007B3FC9" w:rsidRDefault="00B243C7" w:rsidP="00AA1B9F">
            <w:pPr>
              <w:spacing w:line="240" w:lineRule="auto"/>
              <w:rPr>
                <w:sz w:val="22"/>
              </w:rPr>
            </w:pPr>
            <w:r w:rsidRPr="007B3FC9">
              <w:rPr>
                <w:sz w:val="22"/>
              </w:rPr>
              <w:t xml:space="preserve">Average Days </w:t>
            </w:r>
          </w:p>
        </w:tc>
        <w:tc>
          <w:tcPr>
            <w:tcW w:w="487" w:type="pct"/>
          </w:tcPr>
          <w:p w:rsidR="00B243C7" w:rsidRPr="007B3FC9" w:rsidRDefault="00B243C7" w:rsidP="00AA1B9F">
            <w:pPr>
              <w:spacing w:line="240" w:lineRule="auto"/>
              <w:rPr>
                <w:sz w:val="22"/>
              </w:rPr>
            </w:pPr>
            <w:r w:rsidRPr="007B3FC9">
              <w:rPr>
                <w:sz w:val="22"/>
              </w:rPr>
              <w:t>106.8</w:t>
            </w:r>
          </w:p>
        </w:tc>
        <w:tc>
          <w:tcPr>
            <w:tcW w:w="555" w:type="pct"/>
          </w:tcPr>
          <w:p w:rsidR="00B243C7" w:rsidRPr="007B3FC9" w:rsidRDefault="00B243C7" w:rsidP="00AA1B9F">
            <w:pPr>
              <w:spacing w:line="240" w:lineRule="auto"/>
              <w:rPr>
                <w:sz w:val="22"/>
              </w:rPr>
            </w:pPr>
            <w:r w:rsidRPr="007B3FC9">
              <w:rPr>
                <w:sz w:val="22"/>
              </w:rPr>
              <w:t>125</w:t>
            </w:r>
          </w:p>
        </w:tc>
        <w:tc>
          <w:tcPr>
            <w:tcW w:w="488" w:type="pct"/>
          </w:tcPr>
          <w:p w:rsidR="00B243C7" w:rsidRPr="007B3FC9" w:rsidRDefault="00B243C7" w:rsidP="00AA1B9F">
            <w:pPr>
              <w:spacing w:line="240" w:lineRule="auto"/>
              <w:rPr>
                <w:sz w:val="22"/>
              </w:rPr>
            </w:pPr>
            <w:r w:rsidRPr="007B3FC9">
              <w:rPr>
                <w:sz w:val="22"/>
              </w:rPr>
              <w:t>89.6</w:t>
            </w:r>
          </w:p>
        </w:tc>
        <w:tc>
          <w:tcPr>
            <w:tcW w:w="532" w:type="pct"/>
          </w:tcPr>
          <w:p w:rsidR="00B243C7" w:rsidRPr="007B3FC9" w:rsidRDefault="00B243C7" w:rsidP="00AA1B9F">
            <w:pPr>
              <w:spacing w:line="240" w:lineRule="auto"/>
              <w:rPr>
                <w:sz w:val="22"/>
              </w:rPr>
            </w:pPr>
            <w:r w:rsidRPr="007B3FC9">
              <w:rPr>
                <w:color w:val="000000"/>
                <w:sz w:val="22"/>
              </w:rPr>
              <w:t>158.5</w:t>
            </w:r>
          </w:p>
        </w:tc>
        <w:tc>
          <w:tcPr>
            <w:tcW w:w="478" w:type="pct"/>
          </w:tcPr>
          <w:p w:rsidR="00B243C7" w:rsidRPr="007B3FC9" w:rsidRDefault="00B243C7" w:rsidP="00AA1B9F">
            <w:pPr>
              <w:spacing w:line="240" w:lineRule="auto"/>
              <w:rPr>
                <w:sz w:val="22"/>
              </w:rPr>
            </w:pPr>
            <w:r w:rsidRPr="007B3FC9">
              <w:rPr>
                <w:sz w:val="22"/>
              </w:rPr>
              <w:t>80.57</w:t>
            </w:r>
          </w:p>
        </w:tc>
        <w:tc>
          <w:tcPr>
            <w:tcW w:w="578" w:type="pct"/>
          </w:tcPr>
          <w:p w:rsidR="00B243C7" w:rsidRPr="007B3FC9" w:rsidRDefault="00B243C7" w:rsidP="00AA1B9F">
            <w:pPr>
              <w:spacing w:line="240" w:lineRule="auto"/>
              <w:rPr>
                <w:color w:val="000000"/>
                <w:sz w:val="22"/>
              </w:rPr>
            </w:pPr>
            <w:r w:rsidRPr="007B3FC9">
              <w:rPr>
                <w:color w:val="000000"/>
                <w:sz w:val="22"/>
              </w:rPr>
              <w:t>102.56</w:t>
            </w:r>
          </w:p>
        </w:tc>
        <w:tc>
          <w:tcPr>
            <w:tcW w:w="619" w:type="pct"/>
          </w:tcPr>
          <w:p w:rsidR="00B243C7" w:rsidRPr="007B3FC9" w:rsidRDefault="00B243C7" w:rsidP="00AA1B9F">
            <w:pPr>
              <w:spacing w:line="240" w:lineRule="auto"/>
              <w:rPr>
                <w:sz w:val="22"/>
              </w:rPr>
            </w:pPr>
            <w:r w:rsidRPr="007B3FC9">
              <w:rPr>
                <w:color w:val="000000"/>
                <w:sz w:val="22"/>
              </w:rPr>
              <w:t>184.75</w:t>
            </w:r>
          </w:p>
        </w:tc>
        <w:tc>
          <w:tcPr>
            <w:tcW w:w="485" w:type="pct"/>
          </w:tcPr>
          <w:p w:rsidR="00B243C7" w:rsidRPr="007B3FC9" w:rsidRDefault="00B243C7" w:rsidP="00AA1B9F">
            <w:pPr>
              <w:spacing w:line="240" w:lineRule="auto"/>
              <w:rPr>
                <w:sz w:val="22"/>
              </w:rPr>
            </w:pPr>
            <w:r w:rsidRPr="007B3FC9">
              <w:rPr>
                <w:sz w:val="22"/>
              </w:rPr>
              <w:t>22</w:t>
            </w:r>
            <w:r>
              <w:rPr>
                <w:sz w:val="22"/>
              </w:rPr>
              <w:t>3.68</w:t>
            </w:r>
          </w:p>
        </w:tc>
      </w:tr>
      <w:tr w:rsidR="00B243C7" w:rsidRPr="007B3FC9" w:rsidTr="00AA1B9F">
        <w:tc>
          <w:tcPr>
            <w:tcW w:w="778" w:type="pct"/>
          </w:tcPr>
          <w:p w:rsidR="00B243C7" w:rsidRPr="007B3FC9" w:rsidRDefault="00B243C7" w:rsidP="00AA1B9F">
            <w:pPr>
              <w:spacing w:line="240" w:lineRule="auto"/>
              <w:rPr>
                <w:sz w:val="22"/>
              </w:rPr>
            </w:pPr>
            <w:r w:rsidRPr="007B3FC9">
              <w:rPr>
                <w:sz w:val="22"/>
              </w:rPr>
              <w:t xml:space="preserve">Amount of days quicker than average law </w:t>
            </w:r>
          </w:p>
        </w:tc>
        <w:tc>
          <w:tcPr>
            <w:tcW w:w="487" w:type="pct"/>
          </w:tcPr>
          <w:p w:rsidR="00B243C7" w:rsidRPr="007B3FC9" w:rsidRDefault="00B243C7" w:rsidP="00AA1B9F">
            <w:pPr>
              <w:spacing w:line="240" w:lineRule="auto"/>
              <w:rPr>
                <w:sz w:val="22"/>
              </w:rPr>
            </w:pPr>
            <w:r>
              <w:rPr>
                <w:sz w:val="22"/>
              </w:rPr>
              <w:t>117</w:t>
            </w:r>
          </w:p>
        </w:tc>
        <w:tc>
          <w:tcPr>
            <w:tcW w:w="555" w:type="pct"/>
          </w:tcPr>
          <w:p w:rsidR="00B243C7" w:rsidRPr="007B3FC9" w:rsidRDefault="00B243C7" w:rsidP="00AA1B9F">
            <w:pPr>
              <w:spacing w:line="240" w:lineRule="auto"/>
              <w:rPr>
                <w:sz w:val="22"/>
              </w:rPr>
            </w:pPr>
            <w:r>
              <w:rPr>
                <w:sz w:val="22"/>
              </w:rPr>
              <w:t>99</w:t>
            </w:r>
          </w:p>
        </w:tc>
        <w:tc>
          <w:tcPr>
            <w:tcW w:w="488" w:type="pct"/>
          </w:tcPr>
          <w:p w:rsidR="00B243C7" w:rsidRPr="007B3FC9" w:rsidRDefault="00B243C7" w:rsidP="00AA1B9F">
            <w:pPr>
              <w:spacing w:line="240" w:lineRule="auto"/>
              <w:rPr>
                <w:sz w:val="22"/>
              </w:rPr>
            </w:pPr>
            <w:r>
              <w:rPr>
                <w:sz w:val="22"/>
              </w:rPr>
              <w:t>134</w:t>
            </w:r>
          </w:p>
        </w:tc>
        <w:tc>
          <w:tcPr>
            <w:tcW w:w="532" w:type="pct"/>
          </w:tcPr>
          <w:p w:rsidR="00B243C7" w:rsidRPr="007B3FC9" w:rsidRDefault="00B243C7" w:rsidP="00AA1B9F">
            <w:pPr>
              <w:spacing w:line="240" w:lineRule="auto"/>
              <w:rPr>
                <w:color w:val="000000"/>
                <w:sz w:val="22"/>
              </w:rPr>
            </w:pPr>
            <w:r>
              <w:rPr>
                <w:color w:val="000000"/>
                <w:sz w:val="22"/>
              </w:rPr>
              <w:t>65</w:t>
            </w:r>
          </w:p>
        </w:tc>
        <w:tc>
          <w:tcPr>
            <w:tcW w:w="478" w:type="pct"/>
          </w:tcPr>
          <w:p w:rsidR="00B243C7" w:rsidRPr="007B3FC9" w:rsidRDefault="00B243C7" w:rsidP="00AA1B9F">
            <w:pPr>
              <w:spacing w:line="240" w:lineRule="auto"/>
              <w:rPr>
                <w:sz w:val="22"/>
              </w:rPr>
            </w:pPr>
            <w:r>
              <w:rPr>
                <w:sz w:val="22"/>
              </w:rPr>
              <w:t>143</w:t>
            </w:r>
          </w:p>
        </w:tc>
        <w:tc>
          <w:tcPr>
            <w:tcW w:w="578" w:type="pct"/>
          </w:tcPr>
          <w:p w:rsidR="00B243C7" w:rsidRPr="007B3FC9" w:rsidRDefault="00B243C7" w:rsidP="00AA1B9F">
            <w:pPr>
              <w:spacing w:line="240" w:lineRule="auto"/>
              <w:rPr>
                <w:sz w:val="22"/>
              </w:rPr>
            </w:pPr>
            <w:r>
              <w:rPr>
                <w:sz w:val="22"/>
              </w:rPr>
              <w:t>121</w:t>
            </w:r>
          </w:p>
        </w:tc>
        <w:tc>
          <w:tcPr>
            <w:tcW w:w="1104" w:type="pct"/>
            <w:gridSpan w:val="2"/>
            <w:vMerge w:val="restart"/>
          </w:tcPr>
          <w:p w:rsidR="00B243C7" w:rsidRPr="007B3FC9" w:rsidRDefault="00B243C7" w:rsidP="00AA1B9F">
            <w:pPr>
              <w:spacing w:line="240" w:lineRule="auto"/>
              <w:rPr>
                <w:sz w:val="22"/>
              </w:rPr>
            </w:pPr>
          </w:p>
        </w:tc>
      </w:tr>
      <w:tr w:rsidR="00B243C7" w:rsidRPr="007B3FC9" w:rsidTr="00AA1B9F">
        <w:tc>
          <w:tcPr>
            <w:tcW w:w="778" w:type="pct"/>
          </w:tcPr>
          <w:p w:rsidR="00B243C7" w:rsidRPr="007B3FC9" w:rsidRDefault="00B243C7" w:rsidP="00AA1B9F">
            <w:pPr>
              <w:spacing w:line="240" w:lineRule="auto"/>
              <w:rPr>
                <w:sz w:val="22"/>
              </w:rPr>
            </w:pPr>
            <w:r w:rsidRPr="007B3FC9">
              <w:rPr>
                <w:sz w:val="22"/>
              </w:rPr>
              <w:t xml:space="preserve">Amount of days quicker than </w:t>
            </w:r>
            <w:r w:rsidRPr="007B3FC9">
              <w:rPr>
                <w:sz w:val="22"/>
              </w:rPr>
              <w:lastRenderedPageBreak/>
              <w:t>comparison laws</w:t>
            </w:r>
          </w:p>
        </w:tc>
        <w:tc>
          <w:tcPr>
            <w:tcW w:w="487" w:type="pct"/>
          </w:tcPr>
          <w:p w:rsidR="00B243C7" w:rsidRPr="007B3FC9" w:rsidRDefault="00B243C7" w:rsidP="00AA1B9F">
            <w:pPr>
              <w:spacing w:line="240" w:lineRule="auto"/>
              <w:rPr>
                <w:sz w:val="22"/>
              </w:rPr>
            </w:pPr>
            <w:r w:rsidRPr="007B3FC9">
              <w:rPr>
                <w:sz w:val="22"/>
              </w:rPr>
              <w:lastRenderedPageBreak/>
              <w:t>84</w:t>
            </w:r>
          </w:p>
        </w:tc>
        <w:tc>
          <w:tcPr>
            <w:tcW w:w="555" w:type="pct"/>
          </w:tcPr>
          <w:p w:rsidR="00B243C7" w:rsidRPr="007B3FC9" w:rsidRDefault="00B243C7" w:rsidP="00AA1B9F">
            <w:pPr>
              <w:spacing w:line="240" w:lineRule="auto"/>
              <w:rPr>
                <w:sz w:val="22"/>
              </w:rPr>
            </w:pPr>
            <w:r w:rsidRPr="007B3FC9">
              <w:rPr>
                <w:sz w:val="22"/>
              </w:rPr>
              <w:t>66</w:t>
            </w:r>
          </w:p>
        </w:tc>
        <w:tc>
          <w:tcPr>
            <w:tcW w:w="488" w:type="pct"/>
          </w:tcPr>
          <w:p w:rsidR="00B243C7" w:rsidRPr="007B3FC9" w:rsidRDefault="00B243C7" w:rsidP="00AA1B9F">
            <w:pPr>
              <w:spacing w:line="240" w:lineRule="auto"/>
              <w:rPr>
                <w:sz w:val="22"/>
              </w:rPr>
            </w:pPr>
            <w:r w:rsidRPr="007B3FC9">
              <w:rPr>
                <w:sz w:val="22"/>
              </w:rPr>
              <w:t>101</w:t>
            </w:r>
          </w:p>
        </w:tc>
        <w:tc>
          <w:tcPr>
            <w:tcW w:w="532" w:type="pct"/>
          </w:tcPr>
          <w:p w:rsidR="00B243C7" w:rsidRPr="007B3FC9" w:rsidRDefault="00B243C7" w:rsidP="00AA1B9F">
            <w:pPr>
              <w:spacing w:line="240" w:lineRule="auto"/>
              <w:rPr>
                <w:color w:val="000000"/>
                <w:sz w:val="22"/>
              </w:rPr>
            </w:pPr>
            <w:r w:rsidRPr="007B3FC9">
              <w:rPr>
                <w:color w:val="000000"/>
                <w:sz w:val="22"/>
              </w:rPr>
              <w:t>32</w:t>
            </w:r>
          </w:p>
        </w:tc>
        <w:tc>
          <w:tcPr>
            <w:tcW w:w="478" w:type="pct"/>
          </w:tcPr>
          <w:p w:rsidR="00B243C7" w:rsidRPr="007B3FC9" w:rsidRDefault="00B243C7" w:rsidP="00AA1B9F">
            <w:pPr>
              <w:spacing w:line="240" w:lineRule="auto"/>
              <w:rPr>
                <w:sz w:val="22"/>
              </w:rPr>
            </w:pPr>
            <w:r w:rsidRPr="007B3FC9">
              <w:rPr>
                <w:sz w:val="22"/>
              </w:rPr>
              <w:t>107</w:t>
            </w:r>
          </w:p>
        </w:tc>
        <w:tc>
          <w:tcPr>
            <w:tcW w:w="578" w:type="pct"/>
          </w:tcPr>
          <w:p w:rsidR="00B243C7" w:rsidRPr="007B3FC9" w:rsidRDefault="00B243C7" w:rsidP="00AA1B9F">
            <w:pPr>
              <w:spacing w:line="240" w:lineRule="auto"/>
              <w:rPr>
                <w:sz w:val="22"/>
              </w:rPr>
            </w:pPr>
            <w:r w:rsidRPr="007B3FC9">
              <w:rPr>
                <w:sz w:val="22"/>
              </w:rPr>
              <w:t>82</w:t>
            </w:r>
          </w:p>
        </w:tc>
        <w:tc>
          <w:tcPr>
            <w:tcW w:w="1104" w:type="pct"/>
            <w:gridSpan w:val="2"/>
            <w:vMerge/>
          </w:tcPr>
          <w:p w:rsidR="00B243C7" w:rsidRPr="007B3FC9" w:rsidRDefault="00B243C7" w:rsidP="00AA1B9F">
            <w:pPr>
              <w:spacing w:line="240" w:lineRule="auto"/>
              <w:rPr>
                <w:sz w:val="22"/>
              </w:rPr>
            </w:pPr>
          </w:p>
        </w:tc>
      </w:tr>
      <w:tr w:rsidR="00B243C7" w:rsidRPr="007B3FC9" w:rsidTr="00AA1B9F">
        <w:tc>
          <w:tcPr>
            <w:tcW w:w="778" w:type="pct"/>
          </w:tcPr>
          <w:p w:rsidR="00B243C7" w:rsidRPr="007B3FC9" w:rsidRDefault="00B243C7" w:rsidP="00AA1B9F">
            <w:pPr>
              <w:spacing w:line="240" w:lineRule="auto"/>
              <w:rPr>
                <w:sz w:val="22"/>
              </w:rPr>
            </w:pPr>
            <w:r w:rsidRPr="007B3FC9">
              <w:rPr>
                <w:sz w:val="22"/>
              </w:rPr>
              <w:lastRenderedPageBreak/>
              <w:t>Average unemployment rate</w:t>
            </w:r>
          </w:p>
        </w:tc>
        <w:tc>
          <w:tcPr>
            <w:tcW w:w="487" w:type="pct"/>
          </w:tcPr>
          <w:p w:rsidR="00B243C7" w:rsidRPr="007B3FC9" w:rsidRDefault="00B243C7" w:rsidP="00AA1B9F">
            <w:pPr>
              <w:spacing w:line="240" w:lineRule="auto"/>
              <w:rPr>
                <w:sz w:val="22"/>
              </w:rPr>
            </w:pPr>
            <w:r w:rsidRPr="007B3FC9">
              <w:rPr>
                <w:sz w:val="22"/>
              </w:rPr>
              <w:t xml:space="preserve">6% </w:t>
            </w:r>
          </w:p>
        </w:tc>
        <w:tc>
          <w:tcPr>
            <w:tcW w:w="555" w:type="pct"/>
          </w:tcPr>
          <w:p w:rsidR="00B243C7" w:rsidRPr="007B3FC9" w:rsidRDefault="00B243C7" w:rsidP="00AA1B9F">
            <w:pPr>
              <w:spacing w:line="240" w:lineRule="auto"/>
              <w:rPr>
                <w:sz w:val="22"/>
              </w:rPr>
            </w:pPr>
            <w:r w:rsidRPr="007B3FC9">
              <w:rPr>
                <w:sz w:val="22"/>
              </w:rPr>
              <w:t>8.4% (7% in 1</w:t>
            </w:r>
            <w:r w:rsidRPr="007B3FC9">
              <w:rPr>
                <w:sz w:val="22"/>
                <w:vertAlign w:val="superscript"/>
              </w:rPr>
              <w:t>st</w:t>
            </w:r>
            <w:r w:rsidRPr="007B3FC9">
              <w:rPr>
                <w:sz w:val="22"/>
              </w:rPr>
              <w:t xml:space="preserve"> recession. 9% in 2</w:t>
            </w:r>
            <w:r w:rsidRPr="007B3FC9">
              <w:rPr>
                <w:sz w:val="22"/>
                <w:vertAlign w:val="superscript"/>
              </w:rPr>
              <w:t>nd</w:t>
            </w:r>
            <w:r w:rsidRPr="007B3FC9">
              <w:rPr>
                <w:sz w:val="22"/>
              </w:rPr>
              <w:t xml:space="preserve"> recession)</w:t>
            </w:r>
          </w:p>
        </w:tc>
        <w:tc>
          <w:tcPr>
            <w:tcW w:w="488" w:type="pct"/>
          </w:tcPr>
          <w:p w:rsidR="00B243C7" w:rsidRPr="007B3FC9" w:rsidRDefault="00B243C7" w:rsidP="00AA1B9F">
            <w:pPr>
              <w:spacing w:line="240" w:lineRule="auto"/>
              <w:rPr>
                <w:sz w:val="22"/>
              </w:rPr>
            </w:pPr>
            <w:r w:rsidRPr="007B3FC9">
              <w:rPr>
                <w:sz w:val="22"/>
              </w:rPr>
              <w:t>6.1%</w:t>
            </w:r>
          </w:p>
        </w:tc>
        <w:tc>
          <w:tcPr>
            <w:tcW w:w="532" w:type="pct"/>
          </w:tcPr>
          <w:p w:rsidR="00B243C7" w:rsidRPr="007B3FC9" w:rsidRDefault="00B243C7" w:rsidP="00AA1B9F">
            <w:pPr>
              <w:spacing w:line="240" w:lineRule="auto"/>
              <w:rPr>
                <w:color w:val="000000"/>
                <w:sz w:val="22"/>
              </w:rPr>
            </w:pPr>
            <w:r w:rsidRPr="007B3FC9">
              <w:rPr>
                <w:color w:val="000000"/>
                <w:sz w:val="22"/>
              </w:rPr>
              <w:t>4.8%</w:t>
            </w:r>
          </w:p>
        </w:tc>
        <w:tc>
          <w:tcPr>
            <w:tcW w:w="478" w:type="pct"/>
          </w:tcPr>
          <w:p w:rsidR="00B243C7" w:rsidRPr="007B3FC9" w:rsidRDefault="00B243C7" w:rsidP="00AA1B9F">
            <w:pPr>
              <w:spacing w:line="240" w:lineRule="auto"/>
              <w:rPr>
                <w:sz w:val="22"/>
              </w:rPr>
            </w:pPr>
            <w:r w:rsidRPr="007B3FC9">
              <w:rPr>
                <w:sz w:val="22"/>
              </w:rPr>
              <w:t>7.7%</w:t>
            </w:r>
          </w:p>
        </w:tc>
        <w:tc>
          <w:tcPr>
            <w:tcW w:w="578" w:type="pct"/>
            <w:vMerge w:val="restart"/>
          </w:tcPr>
          <w:p w:rsidR="00B243C7" w:rsidRPr="007B3FC9" w:rsidRDefault="00B243C7" w:rsidP="00AA1B9F">
            <w:pPr>
              <w:spacing w:line="240" w:lineRule="auto"/>
              <w:rPr>
                <w:sz w:val="22"/>
              </w:rPr>
            </w:pPr>
          </w:p>
        </w:tc>
        <w:tc>
          <w:tcPr>
            <w:tcW w:w="1104" w:type="pct"/>
            <w:gridSpan w:val="2"/>
            <w:vMerge/>
          </w:tcPr>
          <w:p w:rsidR="00B243C7" w:rsidRPr="007B3FC9" w:rsidRDefault="00B243C7" w:rsidP="00AA1B9F">
            <w:pPr>
              <w:spacing w:line="240" w:lineRule="auto"/>
              <w:rPr>
                <w:sz w:val="22"/>
              </w:rPr>
            </w:pPr>
          </w:p>
        </w:tc>
      </w:tr>
      <w:tr w:rsidR="00B243C7" w:rsidRPr="007B3FC9" w:rsidTr="00AA1B9F">
        <w:tc>
          <w:tcPr>
            <w:tcW w:w="778" w:type="pct"/>
          </w:tcPr>
          <w:p w:rsidR="00B243C7" w:rsidRPr="007B3FC9" w:rsidRDefault="00B243C7" w:rsidP="00AA1B9F">
            <w:pPr>
              <w:spacing w:line="240" w:lineRule="auto"/>
              <w:rPr>
                <w:sz w:val="22"/>
              </w:rPr>
            </w:pPr>
            <w:r w:rsidRPr="007B3FC9">
              <w:rPr>
                <w:sz w:val="22"/>
              </w:rPr>
              <w:t xml:space="preserve">Highest unemployment rate </w:t>
            </w:r>
          </w:p>
        </w:tc>
        <w:tc>
          <w:tcPr>
            <w:tcW w:w="487" w:type="pct"/>
          </w:tcPr>
          <w:p w:rsidR="00B243C7" w:rsidRPr="007B3FC9" w:rsidRDefault="00B243C7" w:rsidP="00AA1B9F">
            <w:pPr>
              <w:spacing w:line="240" w:lineRule="auto"/>
              <w:rPr>
                <w:sz w:val="22"/>
              </w:rPr>
            </w:pPr>
            <w:r w:rsidRPr="007B3FC9">
              <w:rPr>
                <w:sz w:val="22"/>
              </w:rPr>
              <w:t>8.6%</w:t>
            </w:r>
          </w:p>
        </w:tc>
        <w:tc>
          <w:tcPr>
            <w:tcW w:w="555" w:type="pct"/>
          </w:tcPr>
          <w:p w:rsidR="00B243C7" w:rsidRPr="007B3FC9" w:rsidRDefault="00B243C7" w:rsidP="00AA1B9F">
            <w:pPr>
              <w:spacing w:line="240" w:lineRule="auto"/>
              <w:rPr>
                <w:sz w:val="22"/>
              </w:rPr>
            </w:pPr>
            <w:r w:rsidRPr="007B3FC9">
              <w:rPr>
                <w:sz w:val="22"/>
              </w:rPr>
              <w:t>1</w:t>
            </w:r>
            <w:r w:rsidRPr="007B3FC9">
              <w:rPr>
                <w:sz w:val="22"/>
                <w:vertAlign w:val="superscript"/>
              </w:rPr>
              <w:t>st</w:t>
            </w:r>
            <w:r w:rsidRPr="007B3FC9">
              <w:rPr>
                <w:sz w:val="22"/>
              </w:rPr>
              <w:t xml:space="preserve"> 7.8%, 2</w:t>
            </w:r>
            <w:r w:rsidRPr="007B3FC9">
              <w:rPr>
                <w:sz w:val="22"/>
                <w:vertAlign w:val="superscript"/>
              </w:rPr>
              <w:t>nd</w:t>
            </w:r>
            <w:r w:rsidRPr="007B3FC9">
              <w:rPr>
                <w:sz w:val="22"/>
              </w:rPr>
              <w:t xml:space="preserve"> 10.8%</w:t>
            </w:r>
          </w:p>
        </w:tc>
        <w:tc>
          <w:tcPr>
            <w:tcW w:w="488" w:type="pct"/>
          </w:tcPr>
          <w:p w:rsidR="00B243C7" w:rsidRPr="007B3FC9" w:rsidRDefault="00B243C7" w:rsidP="00AA1B9F">
            <w:pPr>
              <w:spacing w:line="240" w:lineRule="auto"/>
              <w:rPr>
                <w:sz w:val="22"/>
              </w:rPr>
            </w:pPr>
            <w:r w:rsidRPr="007B3FC9">
              <w:rPr>
                <w:sz w:val="22"/>
              </w:rPr>
              <w:t>6.8%</w:t>
            </w:r>
          </w:p>
        </w:tc>
        <w:tc>
          <w:tcPr>
            <w:tcW w:w="532" w:type="pct"/>
          </w:tcPr>
          <w:p w:rsidR="00B243C7" w:rsidRPr="007B3FC9" w:rsidRDefault="00B243C7" w:rsidP="00AA1B9F">
            <w:pPr>
              <w:spacing w:line="240" w:lineRule="auto"/>
              <w:rPr>
                <w:color w:val="000000"/>
                <w:sz w:val="22"/>
              </w:rPr>
            </w:pPr>
            <w:r w:rsidRPr="007B3FC9">
              <w:rPr>
                <w:color w:val="000000"/>
                <w:sz w:val="22"/>
              </w:rPr>
              <w:t>5.5%</w:t>
            </w:r>
          </w:p>
        </w:tc>
        <w:tc>
          <w:tcPr>
            <w:tcW w:w="478" w:type="pct"/>
          </w:tcPr>
          <w:p w:rsidR="00B243C7" w:rsidRPr="007B3FC9" w:rsidRDefault="00B243C7" w:rsidP="00AA1B9F">
            <w:pPr>
              <w:spacing w:line="240" w:lineRule="auto"/>
              <w:rPr>
                <w:sz w:val="22"/>
              </w:rPr>
            </w:pPr>
            <w:r w:rsidRPr="007B3FC9">
              <w:rPr>
                <w:sz w:val="22"/>
              </w:rPr>
              <w:t>9.5%</w:t>
            </w:r>
          </w:p>
        </w:tc>
        <w:tc>
          <w:tcPr>
            <w:tcW w:w="578" w:type="pct"/>
            <w:vMerge/>
          </w:tcPr>
          <w:p w:rsidR="00B243C7" w:rsidRPr="007B3FC9" w:rsidRDefault="00B243C7" w:rsidP="00AA1B9F">
            <w:pPr>
              <w:spacing w:line="240" w:lineRule="auto"/>
              <w:rPr>
                <w:sz w:val="22"/>
              </w:rPr>
            </w:pPr>
          </w:p>
        </w:tc>
        <w:tc>
          <w:tcPr>
            <w:tcW w:w="1104" w:type="pct"/>
            <w:gridSpan w:val="2"/>
            <w:vMerge/>
          </w:tcPr>
          <w:p w:rsidR="00B243C7" w:rsidRPr="007B3FC9" w:rsidRDefault="00B243C7" w:rsidP="00AA1B9F">
            <w:pPr>
              <w:spacing w:line="240" w:lineRule="auto"/>
              <w:rPr>
                <w:sz w:val="22"/>
              </w:rPr>
            </w:pPr>
          </w:p>
        </w:tc>
      </w:tr>
      <w:tr w:rsidR="00B243C7" w:rsidRPr="007B3FC9" w:rsidTr="00AA1B9F">
        <w:tc>
          <w:tcPr>
            <w:tcW w:w="778" w:type="pct"/>
          </w:tcPr>
          <w:p w:rsidR="00B243C7" w:rsidRPr="007B3FC9" w:rsidRDefault="00B243C7" w:rsidP="00AA1B9F">
            <w:pPr>
              <w:spacing w:line="240" w:lineRule="auto"/>
              <w:rPr>
                <w:sz w:val="22"/>
              </w:rPr>
            </w:pPr>
            <w:r w:rsidRPr="007B3FC9">
              <w:rPr>
                <w:sz w:val="22"/>
              </w:rPr>
              <w:t>Length in months</w:t>
            </w:r>
          </w:p>
        </w:tc>
        <w:tc>
          <w:tcPr>
            <w:tcW w:w="487" w:type="pct"/>
          </w:tcPr>
          <w:p w:rsidR="00B243C7" w:rsidRPr="007B3FC9" w:rsidRDefault="00B243C7" w:rsidP="00AA1B9F">
            <w:pPr>
              <w:spacing w:line="240" w:lineRule="auto"/>
              <w:rPr>
                <w:sz w:val="22"/>
              </w:rPr>
            </w:pPr>
            <w:r w:rsidRPr="007B3FC9">
              <w:rPr>
                <w:sz w:val="22"/>
              </w:rPr>
              <w:t>16</w:t>
            </w:r>
          </w:p>
        </w:tc>
        <w:tc>
          <w:tcPr>
            <w:tcW w:w="555" w:type="pct"/>
          </w:tcPr>
          <w:p w:rsidR="00B243C7" w:rsidRPr="007B3FC9" w:rsidRDefault="00B243C7" w:rsidP="00AA1B9F">
            <w:pPr>
              <w:spacing w:line="240" w:lineRule="auto"/>
              <w:rPr>
                <w:sz w:val="22"/>
              </w:rPr>
            </w:pPr>
            <w:r w:rsidRPr="007B3FC9">
              <w:rPr>
                <w:sz w:val="22"/>
              </w:rPr>
              <w:t>6 + 16</w:t>
            </w:r>
          </w:p>
        </w:tc>
        <w:tc>
          <w:tcPr>
            <w:tcW w:w="488" w:type="pct"/>
          </w:tcPr>
          <w:p w:rsidR="00B243C7" w:rsidRPr="007B3FC9" w:rsidRDefault="00B243C7" w:rsidP="00AA1B9F">
            <w:pPr>
              <w:spacing w:line="240" w:lineRule="auto"/>
              <w:rPr>
                <w:sz w:val="22"/>
              </w:rPr>
            </w:pPr>
            <w:r w:rsidRPr="007B3FC9">
              <w:rPr>
                <w:sz w:val="22"/>
              </w:rPr>
              <w:t>8</w:t>
            </w:r>
          </w:p>
        </w:tc>
        <w:tc>
          <w:tcPr>
            <w:tcW w:w="532" w:type="pct"/>
          </w:tcPr>
          <w:p w:rsidR="00B243C7" w:rsidRPr="007B3FC9" w:rsidRDefault="00B243C7" w:rsidP="00AA1B9F">
            <w:pPr>
              <w:spacing w:line="240" w:lineRule="auto"/>
              <w:rPr>
                <w:color w:val="000000"/>
                <w:sz w:val="22"/>
              </w:rPr>
            </w:pPr>
            <w:r w:rsidRPr="007B3FC9">
              <w:rPr>
                <w:color w:val="000000"/>
                <w:sz w:val="22"/>
              </w:rPr>
              <w:t>8</w:t>
            </w:r>
          </w:p>
        </w:tc>
        <w:tc>
          <w:tcPr>
            <w:tcW w:w="478" w:type="pct"/>
          </w:tcPr>
          <w:p w:rsidR="00B243C7" w:rsidRPr="007B3FC9" w:rsidRDefault="00B243C7" w:rsidP="00AA1B9F">
            <w:pPr>
              <w:spacing w:line="240" w:lineRule="auto"/>
              <w:rPr>
                <w:sz w:val="22"/>
              </w:rPr>
            </w:pPr>
            <w:r w:rsidRPr="007B3FC9">
              <w:rPr>
                <w:sz w:val="22"/>
              </w:rPr>
              <w:t>16</w:t>
            </w:r>
          </w:p>
        </w:tc>
        <w:tc>
          <w:tcPr>
            <w:tcW w:w="578" w:type="pct"/>
            <w:vMerge/>
          </w:tcPr>
          <w:p w:rsidR="00B243C7" w:rsidRPr="007B3FC9" w:rsidRDefault="00B243C7" w:rsidP="00AA1B9F">
            <w:pPr>
              <w:spacing w:line="240" w:lineRule="auto"/>
              <w:rPr>
                <w:sz w:val="22"/>
              </w:rPr>
            </w:pPr>
          </w:p>
        </w:tc>
        <w:tc>
          <w:tcPr>
            <w:tcW w:w="1104" w:type="pct"/>
            <w:gridSpan w:val="2"/>
            <w:vMerge/>
          </w:tcPr>
          <w:p w:rsidR="00B243C7" w:rsidRPr="007B3FC9" w:rsidRDefault="00B243C7" w:rsidP="00AA1B9F">
            <w:pPr>
              <w:spacing w:line="240" w:lineRule="auto"/>
              <w:rPr>
                <w:sz w:val="22"/>
              </w:rPr>
            </w:pPr>
          </w:p>
        </w:tc>
      </w:tr>
      <w:tr w:rsidR="00B243C7" w:rsidRPr="007B3FC9" w:rsidTr="00AA1B9F">
        <w:trPr>
          <w:trHeight w:val="602"/>
        </w:trPr>
        <w:tc>
          <w:tcPr>
            <w:tcW w:w="778" w:type="pct"/>
          </w:tcPr>
          <w:p w:rsidR="00B243C7" w:rsidRPr="007B3FC9" w:rsidRDefault="00B243C7" w:rsidP="00AA1B9F">
            <w:pPr>
              <w:spacing w:line="240" w:lineRule="auto"/>
              <w:rPr>
                <w:sz w:val="22"/>
              </w:rPr>
            </w:pPr>
            <w:r w:rsidRPr="007B3FC9">
              <w:rPr>
                <w:sz w:val="22"/>
              </w:rPr>
              <w:t>Divided Congress</w:t>
            </w:r>
          </w:p>
        </w:tc>
        <w:tc>
          <w:tcPr>
            <w:tcW w:w="487" w:type="pct"/>
          </w:tcPr>
          <w:p w:rsidR="00B243C7" w:rsidRPr="007B3FC9" w:rsidRDefault="00B243C7" w:rsidP="00AA1B9F">
            <w:pPr>
              <w:spacing w:line="240" w:lineRule="auto"/>
              <w:rPr>
                <w:sz w:val="22"/>
              </w:rPr>
            </w:pPr>
            <w:r w:rsidRPr="007B3FC9">
              <w:rPr>
                <w:sz w:val="22"/>
              </w:rPr>
              <w:t xml:space="preserve">No </w:t>
            </w:r>
          </w:p>
        </w:tc>
        <w:tc>
          <w:tcPr>
            <w:tcW w:w="555" w:type="pct"/>
          </w:tcPr>
          <w:p w:rsidR="00B243C7" w:rsidRPr="007B3FC9" w:rsidRDefault="00B243C7" w:rsidP="00AA1B9F">
            <w:pPr>
              <w:spacing w:line="240" w:lineRule="auto"/>
              <w:rPr>
                <w:sz w:val="22"/>
              </w:rPr>
            </w:pPr>
            <w:r w:rsidRPr="007B3FC9">
              <w:rPr>
                <w:sz w:val="22"/>
              </w:rPr>
              <w:t>Yes</w:t>
            </w:r>
          </w:p>
        </w:tc>
        <w:tc>
          <w:tcPr>
            <w:tcW w:w="488" w:type="pct"/>
          </w:tcPr>
          <w:p w:rsidR="00B243C7" w:rsidRPr="007B3FC9" w:rsidRDefault="00B243C7" w:rsidP="00AA1B9F">
            <w:pPr>
              <w:spacing w:line="240" w:lineRule="auto"/>
              <w:rPr>
                <w:sz w:val="22"/>
              </w:rPr>
            </w:pPr>
            <w:r w:rsidRPr="007B3FC9">
              <w:rPr>
                <w:sz w:val="22"/>
              </w:rPr>
              <w:t>No</w:t>
            </w:r>
          </w:p>
        </w:tc>
        <w:tc>
          <w:tcPr>
            <w:tcW w:w="532" w:type="pct"/>
          </w:tcPr>
          <w:p w:rsidR="00B243C7" w:rsidRPr="007B3FC9" w:rsidRDefault="00B243C7" w:rsidP="00AA1B9F">
            <w:pPr>
              <w:spacing w:line="240" w:lineRule="auto"/>
              <w:rPr>
                <w:color w:val="000000"/>
                <w:sz w:val="22"/>
              </w:rPr>
            </w:pPr>
            <w:r w:rsidRPr="007B3FC9">
              <w:rPr>
                <w:color w:val="000000"/>
                <w:sz w:val="22"/>
              </w:rPr>
              <w:t>Yes</w:t>
            </w:r>
          </w:p>
        </w:tc>
        <w:tc>
          <w:tcPr>
            <w:tcW w:w="478" w:type="pct"/>
          </w:tcPr>
          <w:p w:rsidR="00B243C7" w:rsidRPr="007B3FC9" w:rsidRDefault="00B243C7" w:rsidP="00AA1B9F">
            <w:pPr>
              <w:spacing w:line="240" w:lineRule="auto"/>
              <w:rPr>
                <w:sz w:val="22"/>
              </w:rPr>
            </w:pPr>
            <w:r w:rsidRPr="007B3FC9">
              <w:rPr>
                <w:sz w:val="22"/>
              </w:rPr>
              <w:t>110</w:t>
            </w:r>
            <w:r w:rsidRPr="007B3FC9">
              <w:rPr>
                <w:sz w:val="22"/>
                <w:vertAlign w:val="superscript"/>
              </w:rPr>
              <w:t>th</w:t>
            </w:r>
            <w:r w:rsidRPr="007B3FC9">
              <w:rPr>
                <w:sz w:val="22"/>
              </w:rPr>
              <w:t xml:space="preserve"> Yes, 111</w:t>
            </w:r>
            <w:r w:rsidRPr="007B3FC9">
              <w:rPr>
                <w:sz w:val="22"/>
                <w:vertAlign w:val="superscript"/>
              </w:rPr>
              <w:t>th</w:t>
            </w:r>
            <w:r w:rsidRPr="007B3FC9">
              <w:rPr>
                <w:sz w:val="22"/>
              </w:rPr>
              <w:t xml:space="preserve"> No</w:t>
            </w:r>
          </w:p>
        </w:tc>
        <w:tc>
          <w:tcPr>
            <w:tcW w:w="578" w:type="pct"/>
            <w:vMerge/>
          </w:tcPr>
          <w:p w:rsidR="00B243C7" w:rsidRPr="007B3FC9" w:rsidRDefault="00B243C7" w:rsidP="00AA1B9F">
            <w:pPr>
              <w:spacing w:line="240" w:lineRule="auto"/>
              <w:rPr>
                <w:sz w:val="22"/>
              </w:rPr>
            </w:pPr>
          </w:p>
        </w:tc>
        <w:tc>
          <w:tcPr>
            <w:tcW w:w="1104" w:type="pct"/>
            <w:gridSpan w:val="2"/>
            <w:vMerge/>
          </w:tcPr>
          <w:p w:rsidR="00B243C7" w:rsidRPr="007B3FC9" w:rsidRDefault="00B243C7" w:rsidP="00AA1B9F">
            <w:pPr>
              <w:spacing w:line="240" w:lineRule="auto"/>
              <w:rPr>
                <w:sz w:val="22"/>
              </w:rPr>
            </w:pPr>
          </w:p>
        </w:tc>
      </w:tr>
      <w:tr w:rsidR="00B243C7" w:rsidRPr="007B3FC9" w:rsidTr="00AA1B9F">
        <w:tc>
          <w:tcPr>
            <w:tcW w:w="778" w:type="pct"/>
          </w:tcPr>
          <w:p w:rsidR="00B243C7" w:rsidRPr="007B3FC9" w:rsidRDefault="00B243C7" w:rsidP="00AA1B9F">
            <w:pPr>
              <w:spacing w:line="240" w:lineRule="auto"/>
              <w:rPr>
                <w:sz w:val="22"/>
              </w:rPr>
            </w:pPr>
            <w:r w:rsidRPr="007B3FC9">
              <w:rPr>
                <w:sz w:val="22"/>
              </w:rPr>
              <w:t>President – Congress Party Conflict</w:t>
            </w:r>
          </w:p>
        </w:tc>
        <w:tc>
          <w:tcPr>
            <w:tcW w:w="487" w:type="pct"/>
          </w:tcPr>
          <w:p w:rsidR="00B243C7" w:rsidRPr="007B3FC9" w:rsidRDefault="00B243C7" w:rsidP="00AA1B9F">
            <w:pPr>
              <w:spacing w:line="240" w:lineRule="auto"/>
              <w:rPr>
                <w:sz w:val="22"/>
              </w:rPr>
            </w:pPr>
            <w:r w:rsidRPr="007B3FC9">
              <w:rPr>
                <w:sz w:val="22"/>
              </w:rPr>
              <w:t>Yes</w:t>
            </w:r>
          </w:p>
        </w:tc>
        <w:tc>
          <w:tcPr>
            <w:tcW w:w="555" w:type="pct"/>
          </w:tcPr>
          <w:p w:rsidR="00B243C7" w:rsidRPr="007B3FC9" w:rsidRDefault="00B243C7" w:rsidP="00AA1B9F">
            <w:pPr>
              <w:spacing w:line="240" w:lineRule="auto"/>
              <w:rPr>
                <w:sz w:val="22"/>
              </w:rPr>
            </w:pPr>
            <w:r w:rsidRPr="007B3FC9">
              <w:rPr>
                <w:sz w:val="22"/>
              </w:rPr>
              <w:t>Split</w:t>
            </w:r>
          </w:p>
        </w:tc>
        <w:tc>
          <w:tcPr>
            <w:tcW w:w="488" w:type="pct"/>
          </w:tcPr>
          <w:p w:rsidR="00B243C7" w:rsidRPr="007B3FC9" w:rsidRDefault="00B243C7" w:rsidP="00AA1B9F">
            <w:pPr>
              <w:spacing w:line="240" w:lineRule="auto"/>
              <w:rPr>
                <w:sz w:val="22"/>
              </w:rPr>
            </w:pPr>
            <w:r w:rsidRPr="007B3FC9">
              <w:rPr>
                <w:sz w:val="22"/>
              </w:rPr>
              <w:t>Yes</w:t>
            </w:r>
          </w:p>
        </w:tc>
        <w:tc>
          <w:tcPr>
            <w:tcW w:w="532" w:type="pct"/>
          </w:tcPr>
          <w:p w:rsidR="00B243C7" w:rsidRPr="007B3FC9" w:rsidRDefault="00B243C7" w:rsidP="00AA1B9F">
            <w:pPr>
              <w:spacing w:line="240" w:lineRule="auto"/>
              <w:rPr>
                <w:color w:val="000000"/>
                <w:sz w:val="22"/>
              </w:rPr>
            </w:pPr>
            <w:r w:rsidRPr="007B3FC9">
              <w:rPr>
                <w:color w:val="000000"/>
                <w:sz w:val="22"/>
              </w:rPr>
              <w:t>Split</w:t>
            </w:r>
          </w:p>
        </w:tc>
        <w:tc>
          <w:tcPr>
            <w:tcW w:w="478" w:type="pct"/>
          </w:tcPr>
          <w:p w:rsidR="00B243C7" w:rsidRPr="007B3FC9" w:rsidRDefault="00B243C7" w:rsidP="00AA1B9F">
            <w:pPr>
              <w:spacing w:line="240" w:lineRule="auto"/>
              <w:rPr>
                <w:sz w:val="22"/>
              </w:rPr>
            </w:pPr>
            <w:r w:rsidRPr="007B3FC9">
              <w:rPr>
                <w:sz w:val="22"/>
              </w:rPr>
              <w:t>110</w:t>
            </w:r>
            <w:r w:rsidRPr="007B3FC9">
              <w:rPr>
                <w:sz w:val="22"/>
                <w:vertAlign w:val="superscript"/>
              </w:rPr>
              <w:t>sh</w:t>
            </w:r>
            <w:r w:rsidRPr="007B3FC9">
              <w:rPr>
                <w:sz w:val="22"/>
              </w:rPr>
              <w:t xml:space="preserve"> Split</w:t>
            </w:r>
            <w:r w:rsidRPr="007B3FC9">
              <w:rPr>
                <w:sz w:val="22"/>
              </w:rPr>
              <w:br/>
              <w:t>111</w:t>
            </w:r>
            <w:r w:rsidRPr="007B3FC9">
              <w:rPr>
                <w:sz w:val="22"/>
                <w:vertAlign w:val="superscript"/>
              </w:rPr>
              <w:t>th</w:t>
            </w:r>
            <w:r w:rsidRPr="007B3FC9">
              <w:rPr>
                <w:sz w:val="22"/>
              </w:rPr>
              <w:t xml:space="preserve"> No</w:t>
            </w:r>
          </w:p>
        </w:tc>
        <w:tc>
          <w:tcPr>
            <w:tcW w:w="578" w:type="pct"/>
            <w:vMerge/>
          </w:tcPr>
          <w:p w:rsidR="00B243C7" w:rsidRPr="007B3FC9" w:rsidRDefault="00B243C7" w:rsidP="00AA1B9F">
            <w:pPr>
              <w:spacing w:line="240" w:lineRule="auto"/>
              <w:rPr>
                <w:sz w:val="22"/>
              </w:rPr>
            </w:pPr>
          </w:p>
        </w:tc>
        <w:tc>
          <w:tcPr>
            <w:tcW w:w="1104" w:type="pct"/>
            <w:gridSpan w:val="2"/>
            <w:vMerge/>
          </w:tcPr>
          <w:p w:rsidR="00B243C7" w:rsidRPr="007B3FC9" w:rsidRDefault="00B243C7" w:rsidP="00AA1B9F">
            <w:pPr>
              <w:spacing w:line="240" w:lineRule="auto"/>
              <w:rPr>
                <w:sz w:val="22"/>
              </w:rPr>
            </w:pPr>
          </w:p>
        </w:tc>
      </w:tr>
    </w:tbl>
    <w:p w:rsidR="00B243C7" w:rsidRDefault="00B243C7">
      <w:pPr>
        <w:spacing w:line="259" w:lineRule="auto"/>
      </w:pPr>
    </w:p>
    <w:tbl>
      <w:tblPr>
        <w:tblW w:w="9679" w:type="dxa"/>
        <w:tblInd w:w="-10" w:type="dxa"/>
        <w:tblLook w:val="04A0" w:firstRow="1" w:lastRow="0" w:firstColumn="1" w:lastColumn="0" w:noHBand="0" w:noVBand="1"/>
      </w:tblPr>
      <w:tblGrid>
        <w:gridCol w:w="1176"/>
        <w:gridCol w:w="1434"/>
        <w:gridCol w:w="1080"/>
        <w:gridCol w:w="2882"/>
        <w:gridCol w:w="3107"/>
      </w:tblGrid>
      <w:tr w:rsidR="00B243C7" w:rsidRPr="007B3FC9" w:rsidTr="00AA1B9F">
        <w:trPr>
          <w:trHeight w:val="622"/>
        </w:trPr>
        <w:tc>
          <w:tcPr>
            <w:tcW w:w="967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 xml:space="preserve">Table XXX: </w:t>
            </w:r>
            <w:r w:rsidRPr="007B3FC9">
              <w:rPr>
                <w:b/>
              </w:rPr>
              <w:t>Lawmaking from 1973 to 2014</w:t>
            </w:r>
          </w:p>
        </w:tc>
      </w:tr>
      <w:tr w:rsidR="00B243C7" w:rsidRPr="007B3FC9" w:rsidTr="00AA1B9F">
        <w:trPr>
          <w:trHeight w:val="622"/>
        </w:trPr>
        <w:tc>
          <w:tcPr>
            <w:tcW w:w="117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Congress</w:t>
            </w:r>
          </w:p>
        </w:tc>
        <w:tc>
          <w:tcPr>
            <w:tcW w:w="1434" w:type="dxa"/>
            <w:tcBorders>
              <w:top w:val="single" w:sz="8" w:space="0" w:color="auto"/>
              <w:left w:val="nil"/>
              <w:bottom w:val="single" w:sz="8" w:space="0" w:color="auto"/>
              <w:right w:val="single" w:sz="8" w:space="0" w:color="auto"/>
            </w:tcBorders>
            <w:shd w:val="clear" w:color="auto" w:fill="auto"/>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Years</w:t>
            </w:r>
          </w:p>
        </w:tc>
        <w:tc>
          <w:tcPr>
            <w:tcW w:w="1080" w:type="dxa"/>
            <w:tcBorders>
              <w:top w:val="single" w:sz="8" w:space="0" w:color="auto"/>
              <w:left w:val="nil"/>
              <w:bottom w:val="single" w:sz="8" w:space="0" w:color="auto"/>
              <w:right w:val="single" w:sz="8" w:space="0" w:color="auto"/>
            </w:tcBorders>
            <w:shd w:val="clear" w:color="auto" w:fill="auto"/>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Final Laws</w:t>
            </w:r>
          </w:p>
        </w:tc>
        <w:tc>
          <w:tcPr>
            <w:tcW w:w="2882" w:type="dxa"/>
            <w:tcBorders>
              <w:top w:val="single" w:sz="8" w:space="0" w:color="auto"/>
              <w:left w:val="nil"/>
              <w:bottom w:val="single" w:sz="8" w:space="0" w:color="auto"/>
              <w:right w:val="single" w:sz="8" w:space="0" w:color="auto"/>
            </w:tcBorders>
            <w:shd w:val="clear" w:color="auto" w:fill="auto"/>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 xml:space="preserve">Average Word Count </w:t>
            </w:r>
          </w:p>
        </w:tc>
        <w:tc>
          <w:tcPr>
            <w:tcW w:w="3107" w:type="dxa"/>
            <w:tcBorders>
              <w:top w:val="single" w:sz="8" w:space="0" w:color="auto"/>
              <w:left w:val="nil"/>
              <w:bottom w:val="single" w:sz="8" w:space="0" w:color="auto"/>
              <w:right w:val="single" w:sz="8" w:space="0" w:color="auto"/>
            </w:tcBorders>
            <w:shd w:val="clear" w:color="auto" w:fill="auto"/>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Average Duration in Days</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right"/>
              <w:rPr>
                <w:rFonts w:eastAsia="Times New Roman" w:cs="Times New Roman"/>
                <w:color w:val="000000"/>
                <w:sz w:val="22"/>
              </w:rPr>
            </w:pPr>
            <w:r w:rsidRPr="007B3FC9">
              <w:rPr>
                <w:rFonts w:eastAsia="Times New Roman" w:cs="Times New Roman"/>
                <w:bCs/>
                <w:color w:val="000000"/>
                <w:sz w:val="22"/>
              </w:rPr>
              <w:t>113</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2014-2013</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Pr>
                <w:rFonts w:eastAsia="Times New Roman" w:cs="Times New Roman"/>
                <w:color w:val="000000"/>
                <w:sz w:val="22"/>
              </w:rPr>
              <w:t>296</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Pr>
                <w:rFonts w:eastAsia="Times New Roman" w:cs="Times New Roman"/>
                <w:color w:val="000000"/>
                <w:sz w:val="22"/>
              </w:rPr>
              <w:t>7221.12</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2</w:t>
            </w:r>
            <w:r>
              <w:rPr>
                <w:rFonts w:eastAsia="Times New Roman" w:cs="Times New Roman"/>
                <w:color w:val="000000"/>
                <w:sz w:val="22"/>
              </w:rPr>
              <w:t>64.54</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right"/>
              <w:rPr>
                <w:rFonts w:eastAsia="Times New Roman" w:cs="Times New Roman"/>
                <w:color w:val="000000"/>
                <w:sz w:val="22"/>
              </w:rPr>
            </w:pPr>
            <w:r w:rsidRPr="007B3FC9">
              <w:rPr>
                <w:rFonts w:eastAsia="Times New Roman" w:cs="Times New Roman"/>
                <w:bCs/>
                <w:color w:val="000000"/>
                <w:sz w:val="22"/>
              </w:rPr>
              <w:t>112</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2012-2011</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284</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6163.95</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217.16</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111 Crisis</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2010-2009</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385</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8422.49</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187.18</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110 Crisis</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2008-2007</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460</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6644.05</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177.83</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right"/>
              <w:rPr>
                <w:rFonts w:eastAsia="Times New Roman" w:cs="Times New Roman"/>
                <w:color w:val="000000"/>
                <w:sz w:val="22"/>
              </w:rPr>
            </w:pPr>
            <w:r w:rsidRPr="007B3FC9">
              <w:rPr>
                <w:rFonts w:eastAsia="Times New Roman" w:cs="Times New Roman"/>
                <w:bCs/>
                <w:color w:val="000000"/>
                <w:sz w:val="22"/>
              </w:rPr>
              <w:t>109</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2006-2005</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483</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6002.75</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220.32</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right"/>
              <w:rPr>
                <w:rFonts w:eastAsia="Times New Roman" w:cs="Times New Roman"/>
                <w:color w:val="000000"/>
                <w:sz w:val="22"/>
              </w:rPr>
            </w:pPr>
            <w:r w:rsidRPr="007B3FC9">
              <w:rPr>
                <w:rFonts w:eastAsia="Times New Roman" w:cs="Times New Roman"/>
                <w:bCs/>
                <w:color w:val="000000"/>
                <w:sz w:val="22"/>
              </w:rPr>
              <w:t>108</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2004-2003</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504</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5587.76</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211.79</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107 Crisis</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2002-2001</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383</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5913.02</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222.68</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right"/>
              <w:rPr>
                <w:rFonts w:eastAsia="Times New Roman" w:cs="Times New Roman"/>
                <w:color w:val="000000"/>
                <w:sz w:val="22"/>
              </w:rPr>
            </w:pPr>
            <w:r w:rsidRPr="007B3FC9">
              <w:rPr>
                <w:rFonts w:eastAsia="Times New Roman" w:cs="Times New Roman"/>
                <w:bCs/>
                <w:color w:val="000000"/>
                <w:sz w:val="22"/>
              </w:rPr>
              <w:t>106</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2000-1999</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604</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3274.34</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244.76</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right"/>
              <w:rPr>
                <w:rFonts w:eastAsia="Times New Roman" w:cs="Times New Roman"/>
                <w:color w:val="000000"/>
                <w:sz w:val="22"/>
              </w:rPr>
            </w:pPr>
            <w:r w:rsidRPr="007B3FC9">
              <w:rPr>
                <w:rFonts w:eastAsia="Times New Roman" w:cs="Times New Roman"/>
                <w:bCs/>
                <w:color w:val="000000"/>
                <w:sz w:val="22"/>
              </w:rPr>
              <w:t>105</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1998-1997</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404</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7445.19</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217.88</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right"/>
              <w:rPr>
                <w:rFonts w:eastAsia="Times New Roman" w:cs="Times New Roman"/>
                <w:color w:val="000000"/>
                <w:sz w:val="22"/>
              </w:rPr>
            </w:pPr>
            <w:r w:rsidRPr="007B3FC9">
              <w:rPr>
                <w:rFonts w:eastAsia="Times New Roman" w:cs="Times New Roman"/>
                <w:bCs/>
                <w:color w:val="000000"/>
                <w:sz w:val="22"/>
              </w:rPr>
              <w:t>104</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1996-1995</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337</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8297.79</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208.99</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right"/>
              <w:rPr>
                <w:rFonts w:eastAsia="Times New Roman" w:cs="Times New Roman"/>
                <w:color w:val="000000"/>
                <w:sz w:val="22"/>
              </w:rPr>
            </w:pPr>
            <w:r w:rsidRPr="007B3FC9">
              <w:rPr>
                <w:rFonts w:eastAsia="Times New Roman" w:cs="Times New Roman"/>
                <w:bCs/>
                <w:color w:val="000000"/>
                <w:sz w:val="22"/>
              </w:rPr>
              <w:t>103</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1994-1993</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473</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6673.13</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188</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102 Crisis</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1992-1991</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610</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5375.66</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187.35</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101 Crisis</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1990-1989</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665</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5555.76</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193.94</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right"/>
              <w:rPr>
                <w:rFonts w:eastAsia="Times New Roman" w:cs="Times New Roman"/>
                <w:color w:val="000000"/>
                <w:sz w:val="22"/>
              </w:rPr>
            </w:pPr>
            <w:r w:rsidRPr="007B3FC9">
              <w:rPr>
                <w:rFonts w:eastAsia="Times New Roman" w:cs="Times New Roman"/>
                <w:bCs/>
                <w:color w:val="000000"/>
                <w:sz w:val="22"/>
              </w:rPr>
              <w:t>100</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1988-1987</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761</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4697.44</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214.51</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right"/>
              <w:rPr>
                <w:rFonts w:eastAsia="Times New Roman" w:cs="Times New Roman"/>
                <w:color w:val="000000"/>
                <w:sz w:val="22"/>
              </w:rPr>
            </w:pPr>
            <w:r w:rsidRPr="007B3FC9">
              <w:rPr>
                <w:rFonts w:eastAsia="Times New Roman" w:cs="Times New Roman"/>
                <w:bCs/>
                <w:color w:val="000000"/>
                <w:sz w:val="22"/>
              </w:rPr>
              <w:t>99</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1986-1985</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687</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4587.56</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197.07</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right"/>
              <w:rPr>
                <w:rFonts w:eastAsia="Times New Roman" w:cs="Times New Roman"/>
                <w:color w:val="000000"/>
                <w:sz w:val="22"/>
              </w:rPr>
            </w:pPr>
            <w:r w:rsidRPr="007B3FC9">
              <w:rPr>
                <w:rFonts w:eastAsia="Times New Roman" w:cs="Times New Roman"/>
                <w:bCs/>
                <w:color w:val="000000"/>
                <w:sz w:val="22"/>
              </w:rPr>
              <w:t>98</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1984-1983</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677</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3298.97</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223.86</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lastRenderedPageBreak/>
              <w:t>97 Crisis</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1982-1981</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529</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3934.35</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236.53</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96 Crisis</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1980-1979</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736</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3036.52</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266.36</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right"/>
              <w:rPr>
                <w:rFonts w:eastAsia="Times New Roman" w:cs="Times New Roman"/>
                <w:color w:val="000000"/>
                <w:sz w:val="22"/>
              </w:rPr>
            </w:pPr>
            <w:r w:rsidRPr="007B3FC9">
              <w:rPr>
                <w:rFonts w:eastAsia="Times New Roman" w:cs="Times New Roman"/>
                <w:bCs/>
                <w:color w:val="000000"/>
                <w:sz w:val="22"/>
              </w:rPr>
              <w:t>95</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1978-1977</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804</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3531.08</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color w:val="000000"/>
                <w:sz w:val="22"/>
              </w:rPr>
            </w:pPr>
            <w:r w:rsidRPr="007B3FC9">
              <w:rPr>
                <w:rFonts w:eastAsia="Times New Roman" w:cs="Times New Roman"/>
                <w:color w:val="000000"/>
                <w:sz w:val="22"/>
              </w:rPr>
              <w:t>243.83</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color w:val="000000"/>
                <w:sz w:val="22"/>
              </w:rPr>
            </w:pPr>
            <w:r w:rsidRPr="007B3FC9">
              <w:rPr>
                <w:rFonts w:eastAsia="Times New Roman" w:cs="Times New Roman"/>
                <w:b/>
                <w:bCs/>
                <w:color w:val="000000"/>
                <w:sz w:val="22"/>
              </w:rPr>
              <w:t>94 Crisis</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color w:val="000000"/>
                <w:sz w:val="22"/>
              </w:rPr>
            </w:pPr>
            <w:r w:rsidRPr="007B3FC9">
              <w:rPr>
                <w:rFonts w:eastAsia="Times New Roman" w:cs="Times New Roman"/>
                <w:b/>
                <w:color w:val="000000"/>
                <w:sz w:val="22"/>
              </w:rPr>
              <w:t>1976-1975</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color w:val="000000"/>
                <w:sz w:val="22"/>
              </w:rPr>
            </w:pPr>
            <w:r w:rsidRPr="007B3FC9">
              <w:rPr>
                <w:rFonts w:eastAsia="Times New Roman" w:cs="Times New Roman"/>
                <w:b/>
                <w:color w:val="000000"/>
                <w:sz w:val="22"/>
              </w:rPr>
              <w:t>729</w:t>
            </w:r>
          </w:p>
        </w:tc>
        <w:tc>
          <w:tcPr>
            <w:tcW w:w="2882"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color w:val="000000"/>
                <w:sz w:val="22"/>
              </w:rPr>
            </w:pPr>
            <w:r w:rsidRPr="007B3FC9">
              <w:rPr>
                <w:rFonts w:eastAsia="Times New Roman" w:cs="Times New Roman"/>
                <w:b/>
                <w:color w:val="000000"/>
                <w:sz w:val="22"/>
              </w:rPr>
              <w:t>3065.68</w:t>
            </w:r>
          </w:p>
        </w:tc>
        <w:tc>
          <w:tcPr>
            <w:tcW w:w="3107"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color w:val="000000"/>
                <w:sz w:val="22"/>
              </w:rPr>
            </w:pPr>
            <w:r w:rsidRPr="007B3FC9">
              <w:rPr>
                <w:rFonts w:eastAsia="Times New Roman" w:cs="Times New Roman"/>
                <w:b/>
                <w:color w:val="000000"/>
                <w:sz w:val="22"/>
              </w:rPr>
              <w:t>268.92</w:t>
            </w:r>
          </w:p>
        </w:tc>
      </w:tr>
      <w:tr w:rsidR="00B243C7" w:rsidRPr="007B3FC9" w:rsidTr="00AA1B9F">
        <w:trPr>
          <w:trHeight w:val="318"/>
        </w:trPr>
        <w:tc>
          <w:tcPr>
            <w:tcW w:w="1176" w:type="dxa"/>
            <w:tcBorders>
              <w:top w:val="nil"/>
              <w:left w:val="single" w:sz="8" w:space="0" w:color="auto"/>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color w:val="000000"/>
                <w:sz w:val="22"/>
              </w:rPr>
            </w:pPr>
            <w:r w:rsidRPr="007B3FC9">
              <w:rPr>
                <w:rFonts w:eastAsia="Times New Roman" w:cs="Times New Roman"/>
                <w:b/>
                <w:color w:val="000000"/>
                <w:sz w:val="22"/>
              </w:rPr>
              <w:t>93 Crisis</w:t>
            </w:r>
          </w:p>
        </w:tc>
        <w:tc>
          <w:tcPr>
            <w:tcW w:w="1434"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color w:val="000000"/>
                <w:sz w:val="22"/>
              </w:rPr>
            </w:pPr>
            <w:r w:rsidRPr="007B3FC9">
              <w:rPr>
                <w:rFonts w:eastAsia="Times New Roman" w:cs="Times New Roman"/>
                <w:b/>
                <w:color w:val="000000"/>
                <w:sz w:val="22"/>
              </w:rPr>
              <w:t>1974-1973</w:t>
            </w:r>
          </w:p>
        </w:tc>
        <w:tc>
          <w:tcPr>
            <w:tcW w:w="1080" w:type="dxa"/>
            <w:tcBorders>
              <w:top w:val="nil"/>
              <w:left w:val="nil"/>
              <w:bottom w:val="single" w:sz="8"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color w:val="000000"/>
                <w:sz w:val="22"/>
              </w:rPr>
            </w:pPr>
            <w:r w:rsidRPr="007B3FC9">
              <w:rPr>
                <w:rFonts w:eastAsia="Times New Roman" w:cs="Times New Roman"/>
                <w:b/>
                <w:color w:val="000000"/>
                <w:sz w:val="22"/>
              </w:rPr>
              <w:t>772</w:t>
            </w:r>
          </w:p>
        </w:tc>
        <w:tc>
          <w:tcPr>
            <w:tcW w:w="2882" w:type="dxa"/>
            <w:tcBorders>
              <w:top w:val="nil"/>
              <w:left w:val="nil"/>
              <w:bottom w:val="single" w:sz="8" w:space="0" w:color="auto"/>
              <w:right w:val="single" w:sz="8" w:space="0" w:color="auto"/>
            </w:tcBorders>
            <w:shd w:val="clear" w:color="auto" w:fill="auto"/>
            <w:noWrap/>
            <w:vAlign w:val="bottom"/>
            <w:hideMark/>
          </w:tcPr>
          <w:p w:rsidR="00B243C7" w:rsidRPr="007B3FC9" w:rsidRDefault="00B243C7" w:rsidP="00AA1B9F">
            <w:pPr>
              <w:spacing w:after="0" w:line="240" w:lineRule="auto"/>
              <w:jc w:val="center"/>
              <w:rPr>
                <w:rFonts w:eastAsia="Times New Roman" w:cs="Times New Roman"/>
                <w:b/>
                <w:color w:val="000000"/>
                <w:sz w:val="22"/>
              </w:rPr>
            </w:pPr>
            <w:r w:rsidRPr="007B3FC9">
              <w:rPr>
                <w:rFonts w:eastAsia="Times New Roman" w:cs="Times New Roman"/>
                <w:b/>
                <w:color w:val="000000"/>
                <w:sz w:val="22"/>
              </w:rPr>
              <w:t>2894.92</w:t>
            </w:r>
          </w:p>
        </w:tc>
        <w:tc>
          <w:tcPr>
            <w:tcW w:w="3107" w:type="dxa"/>
            <w:tcBorders>
              <w:top w:val="nil"/>
              <w:left w:val="nil"/>
              <w:bottom w:val="single" w:sz="8" w:space="0" w:color="auto"/>
              <w:right w:val="single" w:sz="8" w:space="0" w:color="auto"/>
            </w:tcBorders>
            <w:shd w:val="clear" w:color="auto" w:fill="auto"/>
            <w:noWrap/>
            <w:vAlign w:val="bottom"/>
            <w:hideMark/>
          </w:tcPr>
          <w:p w:rsidR="00B243C7" w:rsidRPr="007B3FC9" w:rsidRDefault="00B243C7" w:rsidP="00AA1B9F">
            <w:pPr>
              <w:spacing w:after="0" w:line="240" w:lineRule="auto"/>
              <w:jc w:val="center"/>
              <w:rPr>
                <w:rFonts w:eastAsia="Times New Roman" w:cs="Times New Roman"/>
                <w:b/>
                <w:color w:val="000000"/>
                <w:sz w:val="22"/>
              </w:rPr>
            </w:pPr>
            <w:r w:rsidRPr="007B3FC9">
              <w:rPr>
                <w:rFonts w:eastAsia="Times New Roman" w:cs="Times New Roman"/>
                <w:b/>
                <w:color w:val="000000"/>
                <w:sz w:val="22"/>
              </w:rPr>
              <w:t>253.94</w:t>
            </w:r>
          </w:p>
        </w:tc>
      </w:tr>
      <w:tr w:rsidR="00B243C7" w:rsidRPr="007B3FC9" w:rsidTr="00AA1B9F">
        <w:trPr>
          <w:trHeight w:val="318"/>
        </w:trPr>
        <w:tc>
          <w:tcPr>
            <w:tcW w:w="2610" w:type="dxa"/>
            <w:gridSpan w:val="2"/>
            <w:tcBorders>
              <w:top w:val="nil"/>
              <w:left w:val="single" w:sz="8" w:space="0" w:color="auto"/>
              <w:bottom w:val="single" w:sz="4" w:space="0" w:color="auto"/>
              <w:right w:val="single" w:sz="8" w:space="0" w:color="auto"/>
            </w:tcBorders>
            <w:shd w:val="clear" w:color="auto" w:fill="auto"/>
            <w:noWrap/>
            <w:vAlign w:val="center"/>
            <w:hideMark/>
          </w:tcPr>
          <w:p w:rsidR="00B243C7" w:rsidRPr="007B3FC9" w:rsidRDefault="00B243C7" w:rsidP="00AA1B9F">
            <w:pPr>
              <w:spacing w:after="0" w:line="240" w:lineRule="auto"/>
              <w:rPr>
                <w:rFonts w:eastAsia="Times New Roman" w:cs="Times New Roman"/>
                <w:b/>
                <w:bCs/>
                <w:color w:val="000000"/>
                <w:sz w:val="22"/>
              </w:rPr>
            </w:pPr>
            <w:r w:rsidRPr="007B3FC9">
              <w:rPr>
                <w:rFonts w:eastAsia="Times New Roman" w:cs="Times New Roman"/>
                <w:b/>
                <w:bCs/>
                <w:color w:val="000000"/>
                <w:sz w:val="22"/>
              </w:rPr>
              <w:t xml:space="preserve">Average </w:t>
            </w:r>
          </w:p>
          <w:p w:rsidR="00B243C7" w:rsidRPr="007B3FC9" w:rsidRDefault="00B243C7" w:rsidP="00AA1B9F">
            <w:pPr>
              <w:spacing w:after="0" w:line="240" w:lineRule="auto"/>
              <w:rPr>
                <w:rFonts w:eastAsia="Times New Roman" w:cs="Times New Roman"/>
                <w:color w:val="000000"/>
                <w:sz w:val="22"/>
              </w:rPr>
            </w:pPr>
            <w:r w:rsidRPr="007B3FC9">
              <w:rPr>
                <w:rFonts w:eastAsia="Times New Roman" w:cs="Times New Roman"/>
                <w:color w:val="000000"/>
                <w:sz w:val="22"/>
              </w:rPr>
              <w:t> </w:t>
            </w:r>
          </w:p>
        </w:tc>
        <w:tc>
          <w:tcPr>
            <w:tcW w:w="1080" w:type="dxa"/>
            <w:tcBorders>
              <w:top w:val="nil"/>
              <w:left w:val="nil"/>
              <w:bottom w:val="single" w:sz="4"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Pr>
                <w:rFonts w:eastAsia="Times New Roman" w:cs="Times New Roman"/>
                <w:b/>
                <w:bCs/>
                <w:color w:val="000000"/>
                <w:sz w:val="22"/>
              </w:rPr>
              <w:t>551</w:t>
            </w:r>
            <w:r w:rsidRPr="007B3FC9">
              <w:rPr>
                <w:rFonts w:eastAsia="Times New Roman" w:cs="Times New Roman"/>
                <w:b/>
                <w:bCs/>
                <w:color w:val="000000"/>
                <w:sz w:val="22"/>
              </w:rPr>
              <w:t>.</w:t>
            </w:r>
            <w:r>
              <w:rPr>
                <w:rFonts w:eastAsia="Times New Roman" w:cs="Times New Roman"/>
                <w:b/>
                <w:bCs/>
                <w:color w:val="000000"/>
                <w:sz w:val="22"/>
              </w:rPr>
              <w:t>57</w:t>
            </w:r>
          </w:p>
        </w:tc>
        <w:tc>
          <w:tcPr>
            <w:tcW w:w="2882" w:type="dxa"/>
            <w:tcBorders>
              <w:top w:val="nil"/>
              <w:left w:val="nil"/>
              <w:bottom w:val="single" w:sz="4" w:space="0" w:color="auto"/>
              <w:right w:val="single" w:sz="8" w:space="0" w:color="auto"/>
            </w:tcBorders>
            <w:shd w:val="clear" w:color="auto" w:fill="auto"/>
            <w:noWrap/>
            <w:vAlign w:val="center"/>
            <w:hideMark/>
          </w:tcPr>
          <w:p w:rsidR="00B243C7" w:rsidRPr="007B3FC9" w:rsidRDefault="00B243C7" w:rsidP="00AA1B9F">
            <w:pPr>
              <w:spacing w:line="240" w:lineRule="auto"/>
              <w:jc w:val="center"/>
              <w:rPr>
                <w:b/>
                <w:bCs/>
                <w:color w:val="000000"/>
                <w:sz w:val="22"/>
              </w:rPr>
            </w:pPr>
            <w:r>
              <w:rPr>
                <w:b/>
                <w:bCs/>
                <w:color w:val="000000"/>
                <w:sz w:val="22"/>
              </w:rPr>
              <w:t>4895.69</w:t>
            </w:r>
          </w:p>
        </w:tc>
        <w:tc>
          <w:tcPr>
            <w:tcW w:w="3107" w:type="dxa"/>
            <w:tcBorders>
              <w:top w:val="nil"/>
              <w:left w:val="nil"/>
              <w:bottom w:val="single" w:sz="4" w:space="0" w:color="auto"/>
              <w:right w:val="single" w:sz="8" w:space="0" w:color="auto"/>
            </w:tcBorders>
            <w:shd w:val="clear" w:color="auto" w:fill="auto"/>
            <w:noWrap/>
            <w:vAlign w:val="center"/>
            <w:hideMark/>
          </w:tcPr>
          <w:p w:rsidR="00B243C7" w:rsidRPr="007B3FC9" w:rsidRDefault="00B243C7" w:rsidP="00AA1B9F">
            <w:pPr>
              <w:spacing w:after="0" w:line="240" w:lineRule="auto"/>
              <w:jc w:val="center"/>
              <w:rPr>
                <w:rFonts w:eastAsia="Times New Roman" w:cs="Times New Roman"/>
                <w:b/>
                <w:bCs/>
                <w:color w:val="000000"/>
                <w:sz w:val="22"/>
              </w:rPr>
            </w:pPr>
            <w:r w:rsidRPr="007B3FC9">
              <w:rPr>
                <w:rFonts w:eastAsia="Times New Roman" w:cs="Times New Roman"/>
                <w:b/>
                <w:bCs/>
                <w:color w:val="000000"/>
                <w:sz w:val="22"/>
              </w:rPr>
              <w:t>2</w:t>
            </w:r>
            <w:r>
              <w:rPr>
                <w:rFonts w:eastAsia="Times New Roman" w:cs="Times New Roman"/>
                <w:b/>
                <w:bCs/>
                <w:color w:val="000000"/>
                <w:sz w:val="22"/>
              </w:rPr>
              <w:t>23.68</w:t>
            </w:r>
          </w:p>
        </w:tc>
      </w:tr>
      <w:tr w:rsidR="00B243C7" w:rsidRPr="007B3FC9" w:rsidTr="00AA1B9F">
        <w:trPr>
          <w:trHeight w:val="318"/>
        </w:trPr>
        <w:tc>
          <w:tcPr>
            <w:tcW w:w="9679" w:type="dxa"/>
            <w:gridSpan w:val="5"/>
            <w:tcBorders>
              <w:top w:val="single" w:sz="4" w:space="0" w:color="auto"/>
              <w:left w:val="single" w:sz="8" w:space="0" w:color="auto"/>
              <w:bottom w:val="single" w:sz="8" w:space="0" w:color="auto"/>
              <w:right w:val="single" w:sz="8" w:space="0" w:color="auto"/>
            </w:tcBorders>
            <w:shd w:val="clear" w:color="auto" w:fill="auto"/>
            <w:noWrap/>
            <w:vAlign w:val="center"/>
          </w:tcPr>
          <w:p w:rsidR="00B243C7" w:rsidRPr="007B3FC9" w:rsidRDefault="00B243C7" w:rsidP="00AA1B9F">
            <w:pPr>
              <w:spacing w:after="0" w:line="240" w:lineRule="auto"/>
              <w:rPr>
                <w:rFonts w:eastAsia="Times New Roman" w:cs="Times New Roman"/>
                <w:b/>
                <w:bCs/>
                <w:color w:val="000000"/>
                <w:sz w:val="22"/>
              </w:rPr>
            </w:pPr>
            <w:r w:rsidRPr="007B3FC9">
              <w:rPr>
                <w:b/>
                <w:sz w:val="18"/>
              </w:rPr>
              <w:t>Data sources:</w:t>
            </w:r>
            <w:r w:rsidRPr="007B3FC9">
              <w:rPr>
                <w:sz w:val="18"/>
              </w:rPr>
              <w:t xml:space="preserve"> </w:t>
            </w:r>
            <w:r w:rsidRPr="007B3FC9">
              <w:rPr>
                <w:sz w:val="18"/>
              </w:rPr>
              <w:fldChar w:fldCharType="begin"/>
            </w:r>
            <w:r w:rsidRPr="007B3FC9">
              <w:rPr>
                <w:sz w:val="18"/>
              </w:rPr>
              <w:instrText xml:space="preserve"> ADDIN ZOTERO_ITEM CSL_CITATION {"citationID":"ewHSDqGU","properties":{"formattedCitation":"(Thomas.gov 2014; Sunlight Foundation and govtrack.us 2014)","plainCitation":"(Thomas.gov 2014; Sunlight Foundation and govtrack.us 2014)"},"citationItems":[{"id":916,"uris":["http://zotero.org/users/1463865/items/7TCPF4RV"],"uri":["http://zotero.org/users/1463865/items/7TCPF4RV"],"itemData":{"id":916,"type":"webpage","title":"Congress.gov | Library of Congress","genre":"legislation","abstract":"U.S. Congress legislation, Congressional Record debates, Members of Congress, legislative process educational resources presented by the Library of Congress","URL":"https://beta.congress.gov/","language":"eng","author":[{"family":"Thomas.gov","given":""}],"issued":{"date-parts":[["2014"]]},"accessed":{"date-parts":[["2014",8,8]]}}},{"id":914,"uris":["http://zotero.org/users/1463865/items/777HGI46"],"uri":["http://zotero.org/users/1463865/items/777HGI46"],"itemData":{"id":914,"type":"webpage","title":"Public Domain Data Collectors for the Work of Congress, including Legislation, Amendments, and Votes.","container-title":"GitHub","abstract":"Public domain data collectors for the work of Congress, including legislation, amendments, and votes.","URL":"https://github.com/unitedstates/congress","author":[{"family":"Sunlight Foundation","given":""},{"family":"govtrack.us","given":""}],"issued":{"date-parts":[["2014"]]},"accessed":{"date-parts":[["2014",8,8]]}}}],"schema":"https://github.com/citation-style-language/schema/raw/master/csl-citation.json"} </w:instrText>
            </w:r>
            <w:r w:rsidRPr="007B3FC9">
              <w:rPr>
                <w:sz w:val="18"/>
              </w:rPr>
              <w:fldChar w:fldCharType="separate"/>
            </w:r>
            <w:r w:rsidRPr="007B3FC9">
              <w:rPr>
                <w:sz w:val="18"/>
              </w:rPr>
              <w:t>(Thomas.gov 2014; Sunlight Foundation and govtrack.us 2014)</w:t>
            </w:r>
            <w:r w:rsidRPr="007B3FC9">
              <w:rPr>
                <w:sz w:val="18"/>
              </w:rPr>
              <w:fldChar w:fldCharType="end"/>
            </w:r>
            <w:r w:rsidRPr="007B3FC9">
              <w:rPr>
                <w:sz w:val="18"/>
              </w:rPr>
              <w:t>. Authors own calculations.</w:t>
            </w:r>
          </w:p>
        </w:tc>
      </w:tr>
    </w:tbl>
    <w:p w:rsidR="00E17BAD" w:rsidRDefault="00E17BAD">
      <w:pPr>
        <w:spacing w:line="259" w:lineRule="auto"/>
      </w:pPr>
    </w:p>
    <w:p w:rsidR="00B243C7" w:rsidRDefault="00E17BAD">
      <w:pPr>
        <w:spacing w:line="259" w:lineRule="auto"/>
      </w:pPr>
      <w:r>
        <w:rPr>
          <w:noProof/>
        </w:rPr>
        <w:drawing>
          <wp:inline distT="0" distB="0" distL="0" distR="0" wp14:anchorId="58E02181" wp14:editId="29724A33">
            <wp:extent cx="5943600" cy="3211830"/>
            <wp:effectExtent l="0" t="0" r="0" b="762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00B243C7">
        <w:br w:type="page"/>
      </w:r>
    </w:p>
    <w:p w:rsidR="00424F76" w:rsidRDefault="00424F76">
      <w:pPr>
        <w:spacing w:line="259" w:lineRule="auto"/>
      </w:pPr>
    </w:p>
    <w:p w:rsidR="008E2FDB" w:rsidRDefault="008E2FDB" w:rsidP="00E060A8">
      <w:pPr>
        <w:spacing w:line="240" w:lineRule="auto"/>
      </w:pPr>
    </w:p>
    <w:p w:rsidR="00007CDF" w:rsidRDefault="00F973ED" w:rsidP="008E2FDB">
      <w:r>
        <w:rPr>
          <w:noProof/>
        </w:rPr>
        <w:drawing>
          <wp:inline distT="0" distB="0" distL="0" distR="0" wp14:anchorId="3F5A367F" wp14:editId="26A1EC3D">
            <wp:extent cx="5943600" cy="3457575"/>
            <wp:effectExtent l="0" t="0" r="0" b="9525"/>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AE2478" w:rsidRPr="00007CDF" w:rsidRDefault="00007CDF" w:rsidP="00007CDF">
      <w:r>
        <w:rPr>
          <w:noProof/>
        </w:rPr>
        <w:drawing>
          <wp:inline distT="0" distB="0" distL="0" distR="0" wp14:anchorId="704BF11A" wp14:editId="2C6D6F81">
            <wp:extent cx="5943600" cy="2745105"/>
            <wp:effectExtent l="0" t="0" r="0" b="17145"/>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637E6A" w:rsidRDefault="00EE63CD" w:rsidP="00E060A8">
      <w:pPr>
        <w:spacing w:line="240" w:lineRule="auto"/>
      </w:pPr>
      <w:r w:rsidRPr="007B3FC9">
        <w:rPr>
          <w:noProof/>
        </w:rPr>
        <w:lastRenderedPageBreak/>
        <w:drawing>
          <wp:inline distT="0" distB="0" distL="0" distR="0" wp14:anchorId="5D360C8E" wp14:editId="7D8C8FB4">
            <wp:extent cx="5943600" cy="4196032"/>
            <wp:effectExtent l="0" t="0" r="0" b="1460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A045C" w:rsidRDefault="00FA3A96">
      <w:pPr>
        <w:spacing w:line="259" w:lineRule="auto"/>
      </w:pPr>
      <w:r>
        <w:rPr>
          <w:noProof/>
        </w:rPr>
        <w:drawing>
          <wp:inline distT="0" distB="0" distL="0" distR="0" wp14:anchorId="765AB88D" wp14:editId="1166E007">
            <wp:extent cx="5943600" cy="2850515"/>
            <wp:effectExtent l="0" t="0" r="0" b="6985"/>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A3A96" w:rsidRDefault="00FA3A96">
      <w:pPr>
        <w:spacing w:line="259" w:lineRule="auto"/>
        <w:rPr>
          <w:noProof/>
        </w:rPr>
      </w:pPr>
    </w:p>
    <w:tbl>
      <w:tblPr>
        <w:tblW w:w="8542" w:type="dxa"/>
        <w:tblBorders>
          <w:top w:val="outset" w:sz="2" w:space="0" w:color="000000"/>
          <w:left w:val="outset" w:sz="2" w:space="0" w:color="000000"/>
          <w:bottom w:val="outset" w:sz="2" w:space="0" w:color="000000"/>
          <w:right w:val="outset" w:sz="2" w:space="0" w:color="000000"/>
        </w:tblBorders>
        <w:tblCellMar>
          <w:left w:w="0" w:type="dxa"/>
          <w:right w:w="0" w:type="dxa"/>
        </w:tblCellMar>
        <w:tblLook w:val="04A0" w:firstRow="1" w:lastRow="0" w:firstColumn="1" w:lastColumn="0" w:noHBand="0" w:noVBand="1"/>
      </w:tblPr>
      <w:tblGrid>
        <w:gridCol w:w="3863"/>
        <w:gridCol w:w="4679"/>
      </w:tblGrid>
      <w:tr w:rsidR="00EE63CD" w:rsidRPr="007B3FC9" w:rsidTr="00AA1B9F">
        <w:tc>
          <w:tcPr>
            <w:tcW w:w="5000" w:type="pct"/>
            <w:gridSpan w:val="2"/>
            <w:tcBorders>
              <w:top w:val="single" w:sz="6" w:space="0" w:color="000000"/>
              <w:left w:val="single" w:sz="6" w:space="0" w:color="000000"/>
              <w:bottom w:val="single" w:sz="6" w:space="0" w:color="000000"/>
              <w:right w:val="single" w:sz="6" w:space="0" w:color="000000"/>
            </w:tcBorders>
            <w:hideMark/>
          </w:tcPr>
          <w:p w:rsidR="00EE63CD" w:rsidRPr="007B3FC9" w:rsidRDefault="00EE63CD" w:rsidP="00AA1B9F">
            <w:pPr>
              <w:pStyle w:val="NoSpacing"/>
              <w:rPr>
                <w:b/>
              </w:rPr>
            </w:pPr>
            <w:r w:rsidRPr="007B3FC9">
              <w:rPr>
                <w:b/>
              </w:rPr>
              <w:t>Table XXX: Ratchet-effect: Highest Marginal Income Tax Rates</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Highest level prior World War I</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7%</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lastRenderedPageBreak/>
              <w:t>1916</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15%</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 xml:space="preserve">1917 </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67% (ratchet - entry into WWI in April))</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1918</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77%</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1919 – 1921</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73%</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1922 - 1924</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58% (reduction)</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1925 – 1931</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25%</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1932 – 1935</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63% (ratchet - Great Depression)</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1936 – 1940</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79% (ratchet - Great Depression)</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 xml:space="preserve">1941 </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81% (ratchet - entry into WWII in December)</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1942- 1943</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88%</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1944 – 1945</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94%</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1946 – 1963</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91%</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 xml:space="preserve">1964-1981 </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77% (First significant reduction since end of WWII))</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1982 – 2002</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50% (reduction)</w:t>
            </w:r>
          </w:p>
        </w:tc>
      </w:tr>
      <w:tr w:rsidR="00EE63CD" w:rsidRPr="007B3FC9" w:rsidTr="00AA1B9F">
        <w:tc>
          <w:tcPr>
            <w:tcW w:w="2261" w:type="pct"/>
            <w:tcBorders>
              <w:top w:val="single" w:sz="2" w:space="0" w:color="010101"/>
              <w:left w:val="single" w:sz="6" w:space="0" w:color="000000"/>
              <w:bottom w:val="single" w:sz="6" w:space="0" w:color="000000"/>
              <w:right w:val="single" w:sz="2" w:space="0" w:color="010101"/>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2003 – 2014</w:t>
            </w:r>
          </w:p>
        </w:tc>
        <w:tc>
          <w:tcPr>
            <w:tcW w:w="2739" w:type="pct"/>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35%</w:t>
            </w:r>
          </w:p>
        </w:tc>
      </w:tr>
      <w:tr w:rsidR="00EE63CD" w:rsidRPr="007B3FC9" w:rsidTr="00AA1B9F">
        <w:tc>
          <w:tcPr>
            <w:tcW w:w="5000" w:type="pct"/>
            <w:gridSpan w:val="2"/>
            <w:tcBorders>
              <w:top w:val="single" w:sz="2" w:space="0" w:color="010101"/>
              <w:left w:val="single" w:sz="6" w:space="0" w:color="000000"/>
              <w:bottom w:val="single" w:sz="6" w:space="0" w:color="000000"/>
              <w:right w:val="single" w:sz="6" w:space="0" w:color="000000"/>
            </w:tcBorders>
            <w:hideMark/>
          </w:tcPr>
          <w:p w:rsidR="00EE63CD" w:rsidRPr="007B3FC9" w:rsidRDefault="00EE63CD" w:rsidP="00AA1B9F">
            <w:pPr>
              <w:spacing w:line="240" w:lineRule="auto"/>
              <w:rPr>
                <w:rFonts w:eastAsia="Times New Roman" w:cs="Times New Roman"/>
                <w:sz w:val="22"/>
              </w:rPr>
            </w:pPr>
            <w:r w:rsidRPr="007B3FC9">
              <w:rPr>
                <w:rFonts w:eastAsia="Times New Roman" w:cs="Times New Roman"/>
                <w:color w:val="010101"/>
                <w:sz w:val="22"/>
              </w:rPr>
              <w:t xml:space="preserve">Source: Federal Individual Income Tax Rates History: 1913 – 2014 </w:t>
            </w:r>
            <w:r w:rsidRPr="007B3FC9">
              <w:rPr>
                <w:rFonts w:eastAsia="Times New Roman" w:cs="Times New Roman"/>
                <w:color w:val="010101"/>
                <w:sz w:val="22"/>
              </w:rPr>
              <w:fldChar w:fldCharType="begin"/>
            </w:r>
            <w:r w:rsidRPr="007B3FC9">
              <w:rPr>
                <w:rFonts w:eastAsia="Times New Roman" w:cs="Times New Roman"/>
                <w:color w:val="010101"/>
                <w:sz w:val="22"/>
              </w:rPr>
              <w:instrText xml:space="preserve"> ADDIN ZOTERO_ITEM CSL_CITATION {"citationID":"S4bAdGma","properties":{"formattedCitation":"(Tax Foundation 2013)","plainCitation":"(Tax Foundation 2013)"},"citationItems":[{"id":305,"uris":["http://zotero.org/users/local/C7JWmMCS/items/NXN5T4AH"],"uri":["http://zotero.org/users/local/C7JWmMCS/items/NXN5T4AH"],"itemData":{"id":305,"type":"webpage","title":"U.S. Federal Individual Income Tax Rates History, 1862-2014 (Nominal and Inflation-Adjusted Brackets)","container-title":"Tax Foundation","author":[{"family":"Tax Foundation","given":"2014"}],"issued":{"date-parts":[["2013",7,15]]},"accessed":{"date-parts":[["2013",7,15]]}}}],"schema":"https://github.com/citation-style-language/schema/raw/master/csl-citation.json"} </w:instrText>
            </w:r>
            <w:r w:rsidRPr="007B3FC9">
              <w:rPr>
                <w:rFonts w:eastAsia="Times New Roman" w:cs="Times New Roman"/>
                <w:color w:val="010101"/>
                <w:sz w:val="22"/>
              </w:rPr>
              <w:fldChar w:fldCharType="separate"/>
            </w:r>
            <w:r w:rsidRPr="007B3FC9">
              <w:rPr>
                <w:rFonts w:cs="Times New Roman"/>
                <w:sz w:val="22"/>
              </w:rPr>
              <w:t>(Tax Foundation 2014)</w:t>
            </w:r>
            <w:r w:rsidRPr="007B3FC9">
              <w:rPr>
                <w:rFonts w:eastAsia="Times New Roman" w:cs="Times New Roman"/>
                <w:color w:val="010101"/>
                <w:sz w:val="22"/>
              </w:rPr>
              <w:fldChar w:fldCharType="end"/>
            </w:r>
          </w:p>
        </w:tc>
      </w:tr>
    </w:tbl>
    <w:p w:rsidR="00FA3A96" w:rsidRDefault="00FA3A96">
      <w:pPr>
        <w:spacing w:line="259" w:lineRule="auto"/>
        <w:rPr>
          <w:noProof/>
        </w:rPr>
      </w:pPr>
    </w:p>
    <w:p w:rsidR="00B243C7" w:rsidRDefault="00B243C7">
      <w:pPr>
        <w:spacing w:line="259" w:lineRule="auto"/>
        <w:rPr>
          <w:noProof/>
        </w:rPr>
      </w:pPr>
    </w:p>
    <w:p w:rsidR="008E2FDB" w:rsidRDefault="00CA045C">
      <w:pPr>
        <w:spacing w:line="259" w:lineRule="auto"/>
      </w:pPr>
      <w:r>
        <w:rPr>
          <w:noProof/>
        </w:rPr>
        <mc:AlternateContent>
          <mc:Choice Requires="wpg">
            <w:drawing>
              <wp:inline distT="0" distB="0" distL="0" distR="0" wp14:anchorId="0D13CF4A" wp14:editId="4C0409DF">
                <wp:extent cx="5943600" cy="2912110"/>
                <wp:effectExtent l="0" t="0" r="0" b="2540"/>
                <wp:docPr id="3" name="Group 10"/>
                <wp:cNvGraphicFramePr/>
                <a:graphic xmlns:a="http://schemas.openxmlformats.org/drawingml/2006/main">
                  <a:graphicData uri="http://schemas.microsoft.com/office/word/2010/wordprocessingGroup">
                    <wpg:wgp>
                      <wpg:cNvGrpSpPr/>
                      <wpg:grpSpPr>
                        <a:xfrm>
                          <a:off x="0" y="0"/>
                          <a:ext cx="5943600" cy="2912110"/>
                          <a:chOff x="0" y="0"/>
                          <a:chExt cx="5943600" cy="2912110"/>
                        </a:xfrm>
                      </wpg:grpSpPr>
                      <wpg:graphicFrame>
                        <wpg:cNvPr id="4" name="Chart 4"/>
                        <wpg:cNvFrPr/>
                        <wpg:xfrm>
                          <a:off x="0" y="0"/>
                          <a:ext cx="5943600" cy="2912110"/>
                        </wpg:xfrm>
                        <a:graphic>
                          <a:graphicData uri="http://schemas.openxmlformats.org/drawingml/2006/chart">
                            <c:chart xmlns:c="http://schemas.openxmlformats.org/drawingml/2006/chart" xmlns:r="http://schemas.openxmlformats.org/officeDocument/2006/relationships" r:id="rId14"/>
                          </a:graphicData>
                        </a:graphic>
                      </wpg:graphicFrame>
                      <wps:wsp>
                        <wps:cNvPr id="9" name="Rectangle 9"/>
                        <wps:cNvSpPr/>
                        <wps:spPr>
                          <a:xfrm>
                            <a:off x="1647826" y="533401"/>
                            <a:ext cx="76199" cy="1645920"/>
                          </a:xfrm>
                          <a:prstGeom prst="rect">
                            <a:avLst/>
                          </a:prstGeom>
                          <a:solidFill>
                            <a:schemeClr val="dk1">
                              <a:alpha val="35000"/>
                            </a:schemeClr>
                          </a:solidFill>
                          <a:ln>
                            <a:noFill/>
                          </a:ln>
                        </wps:spPr>
                        <wps:style>
                          <a:lnRef idx="1">
                            <a:schemeClr val="dk1"/>
                          </a:lnRef>
                          <a:fillRef idx="2">
                            <a:schemeClr val="dk1"/>
                          </a:fillRef>
                          <a:effectRef idx="1">
                            <a:schemeClr val="dk1"/>
                          </a:effectRef>
                          <a:fontRef idx="minor">
                            <a:schemeClr val="dk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0" name="Rectangle 10"/>
                        <wps:cNvSpPr/>
                        <wps:spPr>
                          <a:xfrm>
                            <a:off x="914401" y="533399"/>
                            <a:ext cx="180974" cy="1645920"/>
                          </a:xfrm>
                          <a:prstGeom prst="rect">
                            <a:avLst/>
                          </a:prstGeom>
                          <a:solidFill>
                            <a:schemeClr val="dk1">
                              <a:alpha val="35000"/>
                            </a:schemeClr>
                          </a:solidFill>
                          <a:ln>
                            <a:noFill/>
                          </a:ln>
                        </wps:spPr>
                        <wps:style>
                          <a:lnRef idx="1">
                            <a:schemeClr val="dk1"/>
                          </a:lnRef>
                          <a:fillRef idx="2">
                            <a:schemeClr val="dk1"/>
                          </a:fillRef>
                          <a:effectRef idx="1">
                            <a:schemeClr val="dk1"/>
                          </a:effectRef>
                          <a:fontRef idx="minor">
                            <a:schemeClr val="dk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1" name="Rectangle 11"/>
                        <wps:cNvSpPr/>
                        <wps:spPr>
                          <a:xfrm>
                            <a:off x="1828801" y="533401"/>
                            <a:ext cx="137160" cy="1645920"/>
                          </a:xfrm>
                          <a:prstGeom prst="rect">
                            <a:avLst/>
                          </a:prstGeom>
                          <a:solidFill>
                            <a:schemeClr val="dk1">
                              <a:alpha val="35000"/>
                            </a:schemeClr>
                          </a:solidFill>
                          <a:ln>
                            <a:noFill/>
                          </a:ln>
                        </wps:spPr>
                        <wps:style>
                          <a:lnRef idx="1">
                            <a:schemeClr val="dk1"/>
                          </a:lnRef>
                          <a:fillRef idx="2">
                            <a:schemeClr val="dk1"/>
                          </a:fillRef>
                          <a:effectRef idx="1">
                            <a:schemeClr val="dk1"/>
                          </a:effectRef>
                          <a:fontRef idx="minor">
                            <a:schemeClr val="dk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2" name="Rectangle 12"/>
                        <wps:cNvSpPr/>
                        <wps:spPr>
                          <a:xfrm>
                            <a:off x="2867026" y="533401"/>
                            <a:ext cx="82296" cy="1645920"/>
                          </a:xfrm>
                          <a:prstGeom prst="rect">
                            <a:avLst/>
                          </a:prstGeom>
                          <a:solidFill>
                            <a:schemeClr val="dk1">
                              <a:alpha val="35000"/>
                            </a:schemeClr>
                          </a:solidFill>
                          <a:ln>
                            <a:noFill/>
                          </a:ln>
                        </wps:spPr>
                        <wps:style>
                          <a:lnRef idx="1">
                            <a:schemeClr val="dk1"/>
                          </a:lnRef>
                          <a:fillRef idx="2">
                            <a:schemeClr val="dk1"/>
                          </a:fillRef>
                          <a:effectRef idx="1">
                            <a:schemeClr val="dk1"/>
                          </a:effectRef>
                          <a:fontRef idx="minor">
                            <a:schemeClr val="dk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3" name="Rectangle 13"/>
                        <wps:cNvSpPr/>
                        <wps:spPr>
                          <a:xfrm>
                            <a:off x="4867276" y="542926"/>
                            <a:ext cx="201168" cy="1645920"/>
                          </a:xfrm>
                          <a:prstGeom prst="rect">
                            <a:avLst/>
                          </a:prstGeom>
                          <a:solidFill>
                            <a:schemeClr val="dk1">
                              <a:alpha val="35000"/>
                            </a:schemeClr>
                          </a:solidFill>
                          <a:ln>
                            <a:noFill/>
                          </a:ln>
                        </wps:spPr>
                        <wps:style>
                          <a:lnRef idx="1">
                            <a:schemeClr val="dk1"/>
                          </a:lnRef>
                          <a:fillRef idx="2">
                            <a:schemeClr val="dk1"/>
                          </a:fillRef>
                          <a:effectRef idx="1">
                            <a:schemeClr val="dk1"/>
                          </a:effectRef>
                          <a:fontRef idx="minor">
                            <a:schemeClr val="dk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4" name="Rectangle 14"/>
                        <wps:cNvSpPr/>
                        <wps:spPr>
                          <a:xfrm>
                            <a:off x="4095750" y="542925"/>
                            <a:ext cx="82296" cy="1645920"/>
                          </a:xfrm>
                          <a:prstGeom prst="rect">
                            <a:avLst/>
                          </a:prstGeom>
                          <a:solidFill>
                            <a:schemeClr val="dk1">
                              <a:alpha val="35000"/>
                            </a:schemeClr>
                          </a:solidFill>
                          <a:ln>
                            <a:noFill/>
                          </a:ln>
                        </wps:spPr>
                        <wps:style>
                          <a:lnRef idx="1">
                            <a:schemeClr val="dk1"/>
                          </a:lnRef>
                          <a:fillRef idx="2">
                            <a:schemeClr val="dk1"/>
                          </a:fillRef>
                          <a:effectRef idx="1">
                            <a:schemeClr val="dk1"/>
                          </a:effectRef>
                          <a:fontRef idx="minor">
                            <a:schemeClr val="dk1"/>
                          </a:fontRef>
                        </wps:style>
                        <wps:bodyPr rot="0" spcFirstLastPara="0"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5686DA17" id="Group 10" o:spid="_x0000_s1026" style="width:468pt;height:229.3pt;mso-position-horizontal-relative:char;mso-position-vertical-relative:line" coordsize="59436,29121" o:gfxdata="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4" o:spid="_x0000_s1027" type="#_x0000_t75" style="position:absolute;left:-60;top:-60;width:59556;height:2925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">
                  <v:imagedata r:id="rId15" o:title=""/>
                  <o:lock v:ext="edit" aspectratio="f"/>
                </v:shape>
                <v:rect id="Rectangle 9" o:spid="_x0000_s1028" style="position:absolute;left:16478;top:5334;width:762;height:164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HQD8EA&#10;AADaAAAADwAAAGRycy9kb3ducmV2LnhtbESPX2vCQBDE3wW/w7FC3/TSUkRTTykFQQqCf9+X3JqE&#10;3u2G3EVTP71XKPg4zMxvmMWq905dqQ21sIHXSQaKuBBbc2ngdFyPZ6BCRLbohMnALwVYLYeDBeZW&#10;bryn6yGWKkE45GigirHJtQ5FRR7DRBri5F2k9RiTbEttW7wluHf6Lcum2mPNaaHChr4qKn4OnTcg&#10;DrPt9rI5rbvv8/vsXki3c2LMy6j//AAVqY/P8H97Yw3M4e9KugF6+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x0A/BAAAA2gAAAA8AAAAAAAAAAAAAAAAAmAIAAGRycy9kb3du&#10;cmV2LnhtbFBLBQYAAAAABAAEAPUAAACGAwAAAAA=&#10;" fillcolor="black [3200]" stroked="f" strokeweight=".5pt">
                  <v:fill opacity="22873f"/>
                </v:rect>
                <v:rect id="Rectangle 10" o:spid="_x0000_s1029" style="position:absolute;left:9144;top:5333;width:1809;height:16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E07sMA&#10;AADbAAAADwAAAGRycy9kb3ducmV2LnhtbESPQWsCQQyF74X+hyEFb3W2RUS2jiKCIAWhWr2Hnbi7&#10;dCZZdmZ121/fHAq9JbyX974s12MM5kZ9aoUdvEwLMMSV+JZrB+fP3fMCTMrIHoMwOfimBOvV48MS&#10;Sy93PtLtlGujIZxKdNDk3JXWpqqhiGkqHbFqV+kjZl372voe7xoeg30tirmN2LI2NNjRtqHq6zRE&#10;BxKwOByu+/NueL/MFj+VDB9BnJs8jZs3MJnG/G/+u957xVd6/UUHs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E07sMAAADbAAAADwAAAAAAAAAAAAAAAACYAgAAZHJzL2Rv&#10;d25yZXYueG1sUEsFBgAAAAAEAAQA9QAAAIgDAAAAAA==&#10;" fillcolor="black [3200]" stroked="f" strokeweight=".5pt">
                  <v:fill opacity="22873f"/>
                </v:rect>
                <v:rect id="Rectangle 11" o:spid="_x0000_s1030" style="position:absolute;left:18288;top:5334;width:1371;height:164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2Rdb8A&#10;AADbAAAADwAAAGRycy9kb3ducmV2LnhtbERP22rCQBB9L/gPywh9qxtFiqSuUgqCCILX9yE7JqG7&#10;MyG70divd4WCb3M415kve+/UldpQCxsYjzJQxIXYmksDp+PqYwYqRGSLTpgM3CnAcjF4m2Nu5cZ7&#10;uh5iqVIIhxwNVDE2udahqMhjGElDnLiLtB5jgm2pbYu3FO6dnmTZp/ZYc2qosKGfiorfQ+cNiMNs&#10;u72sT6tuc57O/grpdk6MeR/231+gIvXxJf53r22aP4bnL+kAvXg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2nZF1vwAAANsAAAAPAAAAAAAAAAAAAAAAAJgCAABkcnMvZG93bnJl&#10;di54bWxQSwUGAAAAAAQABAD1AAAAhAMAAAAA&#10;" fillcolor="black [3200]" stroked="f" strokeweight=".5pt">
                  <v:fill opacity="22873f"/>
                </v:rect>
                <v:rect id="Rectangle 12" o:spid="_x0000_s1031" style="position:absolute;left:28670;top:5334;width:823;height:164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8PAsAA&#10;AADbAAAADwAAAGRycy9kb3ducmV2LnhtbERP22oCMRB9F/oPYYS+aVYpRVazUgqCFIRq9X3YzF4w&#10;mVk2Wd326xuh0Lc5nOtstqN36kZ9aIUNLOYZKOJSbMu1gfPXbrYCFSKyRSdMBr4pwLZ4mmwwt3Ln&#10;I91OsVYphEOOBpoYu1zrUDbkMcylI05cJb3HmGBfa9vjPYV7p5dZ9qo9tpwaGuzovaHyehq8AXGY&#10;HQ7V/rwbPi4vq59Shk8nxjxPx7c1qEhj/Bf/ufc2zV/C45d0gC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k8PAsAAAADbAAAADwAAAAAAAAAAAAAAAACYAgAAZHJzL2Rvd25y&#10;ZXYueG1sUEsFBgAAAAAEAAQA9QAAAIUDAAAAAA==&#10;" fillcolor="black [3200]" stroked="f" strokeweight=".5pt">
                  <v:fill opacity="22873f"/>
                </v:rect>
                <v:rect id="Rectangle 13" o:spid="_x0000_s1032" style="position:absolute;left:48672;top:5429;width:2012;height:164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OqmcAA&#10;AADbAAAADwAAAGRycy9kb3ducmV2LnhtbERP22rCQBB9L/Qflin4VjetUiS6ihQEKQj19j5kxyS4&#10;OxOyG41+fVcQ+jaHc53ZovdOXagNtbCBj2EGirgQW3Np4LBfvU9AhYhs0QmTgRsFWMxfX2aYW7ny&#10;li67WKoUwiFHA1WMTa51KCryGIbSECfuJK3HmGBbatviNYV7pz+z7Et7rDk1VNjQd0XFedd5A+Iw&#10;22xO68Oq+zmOJ/dCul8nxgze+uUUVKQ+/ouf7rVN80fw+CUdoO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QOqmcAAAADbAAAADwAAAAAAAAAAAAAAAACYAgAAZHJzL2Rvd25y&#10;ZXYueG1sUEsFBgAAAAAEAAQA9QAAAIUDAAAAAA==&#10;" fillcolor="black [3200]" stroked="f" strokeweight=".5pt">
                  <v:fill opacity="22873f"/>
                </v:rect>
                <v:rect id="Rectangle 14" o:spid="_x0000_s1033" style="position:absolute;left:40957;top:5429;width:823;height:164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oy7cAA&#10;AADbAAAADwAAAGRycy9kb3ducmV2LnhtbERP22oCMRB9F/yHMELfNKtIka1ZKQVBCkK1+j5sZi80&#10;mVk2Wd326xuh0Lc5nOtsd6N36kZ9aIUNLBcZKOJSbMu1gcvnfr4BFSKyRSdMBr4pwK6YTraYW7nz&#10;iW7nWKsUwiFHA02MXa51KBvyGBbSESeukt5jTLCvte3xnsK906sse9YeW04NDXb01lD5dR68AXGY&#10;HY/V4bIf3q/rzU8pw4cTY55m4+sLqEhj/Bf/uQ82zV/D45d0gC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uoy7cAAAADbAAAADwAAAAAAAAAAAAAAAACYAgAAZHJzL2Rvd25y&#10;ZXYueG1sUEsFBgAAAAAEAAQA9QAAAIUDAAAAAA==&#10;" fillcolor="black [3200]" stroked="f" strokeweight=".5pt">
                  <v:fill opacity="22873f"/>
                </v:rect>
                <w10:anchorlock/>
              </v:group>
            </w:pict>
          </mc:Fallback>
        </mc:AlternateContent>
      </w:r>
    </w:p>
    <w:p w:rsidR="00542537" w:rsidRDefault="00542537">
      <w:pPr>
        <w:spacing w:line="259" w:lineRule="auto"/>
      </w:pPr>
      <w:r>
        <w:br w:type="page"/>
      </w:r>
    </w:p>
    <w:tbl>
      <w:tblPr>
        <w:tblStyle w:val="TableGrid"/>
        <w:tblW w:w="10043" w:type="dxa"/>
        <w:tblLook w:val="04A0" w:firstRow="1" w:lastRow="0" w:firstColumn="1" w:lastColumn="0" w:noHBand="0" w:noVBand="1"/>
      </w:tblPr>
      <w:tblGrid>
        <w:gridCol w:w="2727"/>
        <w:gridCol w:w="2558"/>
        <w:gridCol w:w="808"/>
        <w:gridCol w:w="1161"/>
        <w:gridCol w:w="1161"/>
        <w:gridCol w:w="1628"/>
      </w:tblGrid>
      <w:tr w:rsidR="00EA25FC" w:rsidRPr="000E59F7" w:rsidTr="004D6D1E">
        <w:trPr>
          <w:trHeight w:val="557"/>
        </w:trPr>
        <w:tc>
          <w:tcPr>
            <w:tcW w:w="10043" w:type="dxa"/>
            <w:gridSpan w:val="6"/>
          </w:tcPr>
          <w:p w:rsidR="00EA25FC" w:rsidRPr="000E59F7" w:rsidRDefault="00EA25FC" w:rsidP="004D6D1E">
            <w:pPr>
              <w:rPr>
                <w:b/>
              </w:rPr>
            </w:pPr>
            <w:r>
              <w:rPr>
                <w:b/>
              </w:rPr>
              <w:lastRenderedPageBreak/>
              <w:t>Table XXX:</w:t>
            </w:r>
            <w:r w:rsidRPr="00EB4B62">
              <w:rPr>
                <w:b/>
              </w:rPr>
              <w:t xml:space="preserve"> Overview of </w:t>
            </w:r>
            <w:r>
              <w:rPr>
                <w:b/>
              </w:rPr>
              <w:t>Mid 1970s Crisis Laws</w:t>
            </w:r>
          </w:p>
        </w:tc>
      </w:tr>
      <w:tr w:rsidR="00EA25FC" w:rsidTr="004D6D1E">
        <w:trPr>
          <w:trHeight w:val="710"/>
        </w:trPr>
        <w:tc>
          <w:tcPr>
            <w:tcW w:w="2727" w:type="dxa"/>
          </w:tcPr>
          <w:p w:rsidR="00EA25FC" w:rsidRPr="00345793" w:rsidRDefault="00EA25FC" w:rsidP="004D6D1E">
            <w:pPr>
              <w:spacing w:line="240" w:lineRule="auto"/>
              <w:rPr>
                <w:b/>
                <w:szCs w:val="24"/>
              </w:rPr>
            </w:pPr>
            <w:r w:rsidRPr="00345793">
              <w:rPr>
                <w:b/>
              </w:rPr>
              <w:t>Law Title</w:t>
            </w:r>
          </w:p>
        </w:tc>
        <w:tc>
          <w:tcPr>
            <w:tcW w:w="2558" w:type="dxa"/>
          </w:tcPr>
          <w:p w:rsidR="00EA25FC" w:rsidRPr="00345793" w:rsidRDefault="00EA25FC" w:rsidP="004D6D1E">
            <w:pPr>
              <w:spacing w:line="240" w:lineRule="auto"/>
              <w:rPr>
                <w:b/>
                <w:szCs w:val="24"/>
              </w:rPr>
            </w:pPr>
            <w:r w:rsidRPr="00345793">
              <w:rPr>
                <w:b/>
              </w:rPr>
              <w:t>Summary</w:t>
            </w:r>
          </w:p>
        </w:tc>
        <w:tc>
          <w:tcPr>
            <w:tcW w:w="808" w:type="dxa"/>
          </w:tcPr>
          <w:p w:rsidR="00EA25FC" w:rsidRPr="00345793" w:rsidRDefault="00EA25FC" w:rsidP="004D6D1E">
            <w:pPr>
              <w:spacing w:line="240" w:lineRule="auto"/>
              <w:rPr>
                <w:b/>
                <w:szCs w:val="24"/>
              </w:rPr>
            </w:pPr>
            <w:r w:rsidRPr="00345793">
              <w:rPr>
                <w:b/>
              </w:rPr>
              <w:t>Law</w:t>
            </w:r>
          </w:p>
        </w:tc>
        <w:tc>
          <w:tcPr>
            <w:tcW w:w="1161" w:type="dxa"/>
          </w:tcPr>
          <w:p w:rsidR="00EA25FC" w:rsidRPr="00345793" w:rsidRDefault="00EA25FC" w:rsidP="004D6D1E">
            <w:pPr>
              <w:spacing w:line="240" w:lineRule="auto"/>
              <w:rPr>
                <w:b/>
                <w:szCs w:val="24"/>
              </w:rPr>
            </w:pPr>
            <w:r w:rsidRPr="00345793">
              <w:rPr>
                <w:b/>
              </w:rPr>
              <w:t>Congress</w:t>
            </w:r>
          </w:p>
        </w:tc>
        <w:tc>
          <w:tcPr>
            <w:tcW w:w="1161" w:type="dxa"/>
          </w:tcPr>
          <w:p w:rsidR="00EA25FC" w:rsidRPr="00345793" w:rsidRDefault="00EA25FC" w:rsidP="004D6D1E">
            <w:pPr>
              <w:spacing w:line="240" w:lineRule="auto"/>
              <w:rPr>
                <w:b/>
                <w:szCs w:val="24"/>
              </w:rPr>
            </w:pPr>
            <w:r w:rsidRPr="00345793">
              <w:rPr>
                <w:b/>
              </w:rPr>
              <w:t>Days in Congress</w:t>
            </w:r>
          </w:p>
        </w:tc>
        <w:tc>
          <w:tcPr>
            <w:tcW w:w="1628" w:type="dxa"/>
          </w:tcPr>
          <w:p w:rsidR="00EA25FC" w:rsidRPr="00345793" w:rsidRDefault="00EA25FC" w:rsidP="004D6D1E">
            <w:pPr>
              <w:spacing w:line="240" w:lineRule="auto"/>
              <w:rPr>
                <w:b/>
                <w:szCs w:val="24"/>
              </w:rPr>
            </w:pPr>
            <w:r w:rsidRPr="00345793">
              <w:rPr>
                <w:b/>
              </w:rPr>
              <w:t>Word count (page count)</w:t>
            </w:r>
          </w:p>
        </w:tc>
      </w:tr>
      <w:tr w:rsidR="00EA25FC" w:rsidTr="004D6D1E">
        <w:trPr>
          <w:trHeight w:val="544"/>
        </w:trPr>
        <w:tc>
          <w:tcPr>
            <w:tcW w:w="2727" w:type="dxa"/>
          </w:tcPr>
          <w:p w:rsidR="00EA25FC" w:rsidRPr="00345793" w:rsidRDefault="00EA25FC" w:rsidP="004D6D1E">
            <w:pPr>
              <w:spacing w:line="240" w:lineRule="auto"/>
              <w:rPr>
                <w:szCs w:val="24"/>
              </w:rPr>
            </w:pPr>
            <w:r w:rsidRPr="00345793">
              <w:rPr>
                <w:szCs w:val="24"/>
              </w:rPr>
              <w:t xml:space="preserve">Emergency Unemployment Compensation Act </w:t>
            </w:r>
          </w:p>
        </w:tc>
        <w:tc>
          <w:tcPr>
            <w:tcW w:w="2558" w:type="dxa"/>
          </w:tcPr>
          <w:p w:rsidR="00EA25FC" w:rsidRPr="00345793" w:rsidRDefault="00EA25FC" w:rsidP="004D6D1E">
            <w:pPr>
              <w:spacing w:line="240" w:lineRule="auto"/>
              <w:rPr>
                <w:szCs w:val="24"/>
              </w:rPr>
            </w:pPr>
            <w:r w:rsidRPr="00345793">
              <w:rPr>
                <w:szCs w:val="24"/>
              </w:rPr>
              <w:t>Extension of unemployment insurance</w:t>
            </w:r>
          </w:p>
        </w:tc>
        <w:tc>
          <w:tcPr>
            <w:tcW w:w="808" w:type="dxa"/>
          </w:tcPr>
          <w:p w:rsidR="00EA25FC" w:rsidRPr="00345793" w:rsidRDefault="00EA25FC" w:rsidP="004D6D1E">
            <w:pPr>
              <w:spacing w:line="240" w:lineRule="auto"/>
              <w:rPr>
                <w:szCs w:val="24"/>
              </w:rPr>
            </w:pPr>
            <w:r w:rsidRPr="00345793">
              <w:rPr>
                <w:szCs w:val="24"/>
              </w:rPr>
              <w:t>H.R. 17597</w:t>
            </w:r>
          </w:p>
        </w:tc>
        <w:tc>
          <w:tcPr>
            <w:tcW w:w="1161" w:type="dxa"/>
          </w:tcPr>
          <w:p w:rsidR="00EA25FC" w:rsidRPr="00345793" w:rsidRDefault="00EA25FC" w:rsidP="004D6D1E">
            <w:pPr>
              <w:spacing w:line="240" w:lineRule="auto"/>
              <w:rPr>
                <w:szCs w:val="24"/>
              </w:rPr>
            </w:pPr>
            <w:r w:rsidRPr="00345793">
              <w:rPr>
                <w:szCs w:val="24"/>
              </w:rPr>
              <w:t>93</w:t>
            </w:r>
            <w:r w:rsidRPr="00345793">
              <w:rPr>
                <w:szCs w:val="24"/>
                <w:vertAlign w:val="superscript"/>
              </w:rPr>
              <w:t>rd</w:t>
            </w:r>
            <w:r w:rsidRPr="00345793">
              <w:rPr>
                <w:szCs w:val="24"/>
              </w:rPr>
              <w:t xml:space="preserve"> </w:t>
            </w:r>
          </w:p>
        </w:tc>
        <w:tc>
          <w:tcPr>
            <w:tcW w:w="1161" w:type="dxa"/>
          </w:tcPr>
          <w:p w:rsidR="00EA25FC" w:rsidRPr="00345793" w:rsidRDefault="00EA25FC" w:rsidP="004D6D1E">
            <w:pPr>
              <w:spacing w:line="240" w:lineRule="auto"/>
              <w:rPr>
                <w:szCs w:val="24"/>
              </w:rPr>
            </w:pPr>
            <w:r w:rsidRPr="00345793">
              <w:rPr>
                <w:szCs w:val="24"/>
              </w:rPr>
              <w:t>22</w:t>
            </w:r>
          </w:p>
        </w:tc>
        <w:tc>
          <w:tcPr>
            <w:tcW w:w="1628" w:type="dxa"/>
          </w:tcPr>
          <w:p w:rsidR="00EA25FC" w:rsidRPr="00345793" w:rsidRDefault="00EA25FC" w:rsidP="004D6D1E">
            <w:pPr>
              <w:spacing w:line="240" w:lineRule="auto"/>
              <w:rPr>
                <w:color w:val="000000"/>
                <w:szCs w:val="24"/>
              </w:rPr>
            </w:pPr>
            <w:r w:rsidRPr="00345793">
              <w:rPr>
                <w:color w:val="000000"/>
                <w:szCs w:val="24"/>
              </w:rPr>
              <w:t>2,240</w:t>
            </w:r>
          </w:p>
        </w:tc>
      </w:tr>
      <w:tr w:rsidR="00EA25FC" w:rsidTr="004D6D1E">
        <w:trPr>
          <w:trHeight w:val="544"/>
        </w:trPr>
        <w:tc>
          <w:tcPr>
            <w:tcW w:w="2727" w:type="dxa"/>
          </w:tcPr>
          <w:p w:rsidR="00EA25FC" w:rsidRPr="00345793" w:rsidRDefault="00EA25FC" w:rsidP="004D6D1E">
            <w:pPr>
              <w:spacing w:line="240" w:lineRule="auto"/>
              <w:rPr>
                <w:color w:val="000000"/>
                <w:szCs w:val="24"/>
              </w:rPr>
            </w:pPr>
            <w:r w:rsidRPr="00345793">
              <w:rPr>
                <w:color w:val="000000"/>
                <w:szCs w:val="24"/>
              </w:rPr>
              <w:t>Tax Reduction Act</w:t>
            </w:r>
          </w:p>
        </w:tc>
        <w:tc>
          <w:tcPr>
            <w:tcW w:w="2558" w:type="dxa"/>
          </w:tcPr>
          <w:p w:rsidR="00EA25FC" w:rsidRPr="00345793" w:rsidRDefault="00EA25FC" w:rsidP="004D6D1E">
            <w:pPr>
              <w:spacing w:line="240" w:lineRule="auto"/>
              <w:rPr>
                <w:szCs w:val="24"/>
              </w:rPr>
            </w:pPr>
            <w:r>
              <w:rPr>
                <w:szCs w:val="24"/>
              </w:rPr>
              <w:t>Reducing taxes to stimulate demand</w:t>
            </w:r>
          </w:p>
        </w:tc>
        <w:tc>
          <w:tcPr>
            <w:tcW w:w="808" w:type="dxa"/>
          </w:tcPr>
          <w:p w:rsidR="00EA25FC" w:rsidRPr="00345793" w:rsidRDefault="00EA25FC" w:rsidP="004D6D1E">
            <w:pPr>
              <w:spacing w:line="240" w:lineRule="auto"/>
              <w:rPr>
                <w:szCs w:val="24"/>
              </w:rPr>
            </w:pPr>
            <w:r w:rsidRPr="00345793">
              <w:rPr>
                <w:szCs w:val="24"/>
              </w:rPr>
              <w:t>H.R 2166</w:t>
            </w:r>
          </w:p>
        </w:tc>
        <w:tc>
          <w:tcPr>
            <w:tcW w:w="1161" w:type="dxa"/>
          </w:tcPr>
          <w:p w:rsidR="00EA25FC" w:rsidRPr="00345793" w:rsidRDefault="00EA25FC" w:rsidP="004D6D1E">
            <w:pPr>
              <w:spacing w:line="240" w:lineRule="auto"/>
              <w:rPr>
                <w:szCs w:val="24"/>
              </w:rPr>
            </w:pPr>
            <w:r w:rsidRPr="00345793">
              <w:rPr>
                <w:szCs w:val="24"/>
              </w:rPr>
              <w:t>94</w:t>
            </w:r>
            <w:r w:rsidRPr="00345793">
              <w:rPr>
                <w:szCs w:val="24"/>
                <w:vertAlign w:val="superscript"/>
              </w:rPr>
              <w:t>th</w:t>
            </w:r>
            <w:r w:rsidRPr="00345793">
              <w:rPr>
                <w:szCs w:val="24"/>
              </w:rPr>
              <w:t xml:space="preserve"> </w:t>
            </w:r>
          </w:p>
        </w:tc>
        <w:tc>
          <w:tcPr>
            <w:tcW w:w="1161" w:type="dxa"/>
          </w:tcPr>
          <w:p w:rsidR="00EA25FC" w:rsidRPr="00345793" w:rsidRDefault="00EA25FC" w:rsidP="004D6D1E">
            <w:pPr>
              <w:spacing w:line="240" w:lineRule="auto"/>
              <w:rPr>
                <w:szCs w:val="24"/>
              </w:rPr>
            </w:pPr>
            <w:r w:rsidRPr="00345793">
              <w:rPr>
                <w:szCs w:val="24"/>
              </w:rPr>
              <w:t>61</w:t>
            </w:r>
          </w:p>
        </w:tc>
        <w:tc>
          <w:tcPr>
            <w:tcW w:w="1628" w:type="dxa"/>
          </w:tcPr>
          <w:p w:rsidR="00EA25FC" w:rsidRPr="00345793" w:rsidRDefault="00EA25FC" w:rsidP="004D6D1E">
            <w:pPr>
              <w:spacing w:line="240" w:lineRule="auto"/>
              <w:rPr>
                <w:bCs/>
                <w:color w:val="000000"/>
                <w:szCs w:val="24"/>
              </w:rPr>
            </w:pPr>
            <w:r w:rsidRPr="00345793">
              <w:rPr>
                <w:bCs/>
                <w:color w:val="000000"/>
                <w:szCs w:val="24"/>
              </w:rPr>
              <w:t>29,503</w:t>
            </w:r>
          </w:p>
          <w:p w:rsidR="00EA25FC" w:rsidRPr="00345793" w:rsidRDefault="00EA25FC" w:rsidP="004D6D1E">
            <w:pPr>
              <w:spacing w:line="240" w:lineRule="auto"/>
              <w:rPr>
                <w:color w:val="000000"/>
                <w:szCs w:val="24"/>
              </w:rPr>
            </w:pPr>
          </w:p>
        </w:tc>
      </w:tr>
      <w:tr w:rsidR="00EA25FC" w:rsidTr="004D6D1E">
        <w:trPr>
          <w:trHeight w:val="620"/>
        </w:trPr>
        <w:tc>
          <w:tcPr>
            <w:tcW w:w="2727" w:type="dxa"/>
          </w:tcPr>
          <w:p w:rsidR="00EA25FC" w:rsidRPr="00345793" w:rsidRDefault="00EA25FC" w:rsidP="004D6D1E">
            <w:pPr>
              <w:spacing w:line="240" w:lineRule="auto"/>
              <w:rPr>
                <w:color w:val="000000"/>
                <w:szCs w:val="24"/>
              </w:rPr>
            </w:pPr>
            <w:r w:rsidRPr="00345793">
              <w:rPr>
                <w:color w:val="000000"/>
                <w:szCs w:val="24"/>
              </w:rPr>
              <w:t>Energy Policy and Conservation Act</w:t>
            </w:r>
          </w:p>
          <w:p w:rsidR="00EA25FC" w:rsidRPr="00345793" w:rsidRDefault="00EA25FC" w:rsidP="004D6D1E">
            <w:pPr>
              <w:spacing w:line="240" w:lineRule="auto"/>
              <w:rPr>
                <w:color w:val="000000"/>
                <w:szCs w:val="24"/>
              </w:rPr>
            </w:pPr>
          </w:p>
        </w:tc>
        <w:tc>
          <w:tcPr>
            <w:tcW w:w="2558" w:type="dxa"/>
          </w:tcPr>
          <w:p w:rsidR="00EA25FC" w:rsidRPr="00345793" w:rsidRDefault="00EA25FC" w:rsidP="004D6D1E">
            <w:pPr>
              <w:spacing w:line="240" w:lineRule="auto"/>
              <w:rPr>
                <w:szCs w:val="24"/>
              </w:rPr>
            </w:pPr>
            <w:r>
              <w:rPr>
                <w:szCs w:val="24"/>
              </w:rPr>
              <w:t>To tackle the energy crisis within the United States</w:t>
            </w:r>
          </w:p>
        </w:tc>
        <w:tc>
          <w:tcPr>
            <w:tcW w:w="808" w:type="dxa"/>
          </w:tcPr>
          <w:p w:rsidR="00EA25FC" w:rsidRPr="00345793" w:rsidRDefault="00EA25FC" w:rsidP="004D6D1E">
            <w:pPr>
              <w:spacing w:line="240" w:lineRule="auto"/>
              <w:rPr>
                <w:szCs w:val="24"/>
              </w:rPr>
            </w:pPr>
            <w:r w:rsidRPr="00345793">
              <w:rPr>
                <w:szCs w:val="24"/>
              </w:rPr>
              <w:t>S. 622</w:t>
            </w:r>
          </w:p>
        </w:tc>
        <w:tc>
          <w:tcPr>
            <w:tcW w:w="1161" w:type="dxa"/>
          </w:tcPr>
          <w:p w:rsidR="00EA25FC" w:rsidRPr="00345793" w:rsidRDefault="00EA25FC" w:rsidP="004D6D1E">
            <w:pPr>
              <w:spacing w:line="240" w:lineRule="auto"/>
              <w:rPr>
                <w:szCs w:val="24"/>
              </w:rPr>
            </w:pPr>
            <w:r w:rsidRPr="00345793">
              <w:rPr>
                <w:szCs w:val="24"/>
              </w:rPr>
              <w:t>94</w:t>
            </w:r>
            <w:r w:rsidRPr="00345793">
              <w:rPr>
                <w:szCs w:val="24"/>
                <w:vertAlign w:val="superscript"/>
              </w:rPr>
              <w:t>t</w:t>
            </w:r>
          </w:p>
        </w:tc>
        <w:tc>
          <w:tcPr>
            <w:tcW w:w="1161" w:type="dxa"/>
          </w:tcPr>
          <w:p w:rsidR="00EA25FC" w:rsidRPr="00345793" w:rsidRDefault="00EA25FC" w:rsidP="004D6D1E">
            <w:pPr>
              <w:spacing w:line="240" w:lineRule="auto"/>
              <w:rPr>
                <w:szCs w:val="24"/>
              </w:rPr>
            </w:pPr>
            <w:r w:rsidRPr="00345793">
              <w:rPr>
                <w:szCs w:val="24"/>
              </w:rPr>
              <w:t>319</w:t>
            </w:r>
          </w:p>
        </w:tc>
        <w:tc>
          <w:tcPr>
            <w:tcW w:w="1628" w:type="dxa"/>
          </w:tcPr>
          <w:p w:rsidR="00EA25FC" w:rsidRPr="00345793" w:rsidRDefault="00EA25FC" w:rsidP="004D6D1E">
            <w:pPr>
              <w:spacing w:line="240" w:lineRule="auto"/>
              <w:rPr>
                <w:color w:val="000000"/>
                <w:szCs w:val="24"/>
              </w:rPr>
            </w:pPr>
            <w:r w:rsidRPr="00345793">
              <w:rPr>
                <w:szCs w:val="24"/>
              </w:rPr>
              <w:t>53,060</w:t>
            </w:r>
          </w:p>
        </w:tc>
      </w:tr>
      <w:tr w:rsidR="00EA25FC" w:rsidTr="004D6D1E">
        <w:trPr>
          <w:trHeight w:val="1142"/>
        </w:trPr>
        <w:tc>
          <w:tcPr>
            <w:tcW w:w="2727" w:type="dxa"/>
          </w:tcPr>
          <w:p w:rsidR="00EA25FC" w:rsidRPr="00345793" w:rsidRDefault="00EA25FC" w:rsidP="004D6D1E">
            <w:pPr>
              <w:spacing w:line="240" w:lineRule="auto"/>
              <w:rPr>
                <w:color w:val="000000"/>
                <w:szCs w:val="24"/>
              </w:rPr>
            </w:pPr>
            <w:r w:rsidRPr="00345793">
              <w:rPr>
                <w:color w:val="000000"/>
                <w:szCs w:val="24"/>
              </w:rPr>
              <w:t>Emergency Compensation and Special Unemployment Assistance Extension Act</w:t>
            </w:r>
          </w:p>
          <w:p w:rsidR="00EA25FC" w:rsidRPr="00345793" w:rsidRDefault="00EA25FC" w:rsidP="004D6D1E">
            <w:pPr>
              <w:spacing w:line="240" w:lineRule="auto"/>
              <w:rPr>
                <w:szCs w:val="24"/>
              </w:rPr>
            </w:pPr>
          </w:p>
        </w:tc>
        <w:tc>
          <w:tcPr>
            <w:tcW w:w="2558" w:type="dxa"/>
          </w:tcPr>
          <w:p w:rsidR="00EA25FC" w:rsidRPr="00345793" w:rsidRDefault="00EA25FC" w:rsidP="004D6D1E">
            <w:pPr>
              <w:spacing w:line="240" w:lineRule="auto"/>
              <w:rPr>
                <w:szCs w:val="24"/>
              </w:rPr>
            </w:pPr>
            <w:r w:rsidRPr="00345793">
              <w:rPr>
                <w:szCs w:val="24"/>
              </w:rPr>
              <w:t>Extension of unemployment insurance</w:t>
            </w:r>
          </w:p>
        </w:tc>
        <w:tc>
          <w:tcPr>
            <w:tcW w:w="808" w:type="dxa"/>
          </w:tcPr>
          <w:p w:rsidR="00EA25FC" w:rsidRPr="00345793" w:rsidRDefault="00EA25FC" w:rsidP="004D6D1E">
            <w:pPr>
              <w:spacing w:line="240" w:lineRule="auto"/>
              <w:rPr>
                <w:szCs w:val="24"/>
              </w:rPr>
            </w:pPr>
            <w:r w:rsidRPr="00345793">
              <w:rPr>
                <w:szCs w:val="24"/>
              </w:rPr>
              <w:t>H.R. 6900</w:t>
            </w:r>
          </w:p>
        </w:tc>
        <w:tc>
          <w:tcPr>
            <w:tcW w:w="1161" w:type="dxa"/>
          </w:tcPr>
          <w:p w:rsidR="00EA25FC" w:rsidRPr="00345793" w:rsidRDefault="00EA25FC" w:rsidP="004D6D1E">
            <w:pPr>
              <w:spacing w:line="240" w:lineRule="auto"/>
              <w:rPr>
                <w:szCs w:val="24"/>
              </w:rPr>
            </w:pPr>
            <w:r w:rsidRPr="00345793">
              <w:rPr>
                <w:szCs w:val="24"/>
              </w:rPr>
              <w:t>94</w:t>
            </w:r>
            <w:r w:rsidRPr="00345793">
              <w:rPr>
                <w:szCs w:val="24"/>
                <w:vertAlign w:val="superscript"/>
              </w:rPr>
              <w:t>th</w:t>
            </w:r>
            <w:r w:rsidRPr="00345793">
              <w:rPr>
                <w:szCs w:val="24"/>
              </w:rPr>
              <w:t xml:space="preserve"> </w:t>
            </w:r>
          </w:p>
        </w:tc>
        <w:tc>
          <w:tcPr>
            <w:tcW w:w="1161" w:type="dxa"/>
          </w:tcPr>
          <w:p w:rsidR="00EA25FC" w:rsidRPr="00345793" w:rsidRDefault="00EA25FC" w:rsidP="004D6D1E">
            <w:pPr>
              <w:spacing w:line="240" w:lineRule="auto"/>
              <w:rPr>
                <w:szCs w:val="24"/>
              </w:rPr>
            </w:pPr>
            <w:r w:rsidRPr="00345793">
              <w:rPr>
                <w:szCs w:val="24"/>
              </w:rPr>
              <w:t>49</w:t>
            </w:r>
          </w:p>
        </w:tc>
        <w:tc>
          <w:tcPr>
            <w:tcW w:w="1628" w:type="dxa"/>
          </w:tcPr>
          <w:p w:rsidR="00EA25FC" w:rsidRPr="00345793" w:rsidRDefault="00EA25FC" w:rsidP="004D6D1E">
            <w:pPr>
              <w:spacing w:line="240" w:lineRule="auto"/>
              <w:rPr>
                <w:color w:val="000000"/>
                <w:szCs w:val="24"/>
              </w:rPr>
            </w:pPr>
            <w:r w:rsidRPr="00345793">
              <w:rPr>
                <w:color w:val="000000"/>
                <w:szCs w:val="24"/>
              </w:rPr>
              <w:t>4,836</w:t>
            </w:r>
          </w:p>
        </w:tc>
      </w:tr>
      <w:tr w:rsidR="00EA25FC" w:rsidTr="004D6D1E">
        <w:trPr>
          <w:trHeight w:val="602"/>
        </w:trPr>
        <w:tc>
          <w:tcPr>
            <w:tcW w:w="2727" w:type="dxa"/>
          </w:tcPr>
          <w:p w:rsidR="00EA25FC" w:rsidRPr="00345793" w:rsidRDefault="00EA25FC" w:rsidP="004D6D1E">
            <w:pPr>
              <w:spacing w:line="240" w:lineRule="auto"/>
              <w:rPr>
                <w:color w:val="000000"/>
                <w:szCs w:val="24"/>
              </w:rPr>
            </w:pPr>
            <w:r w:rsidRPr="00345793">
              <w:rPr>
                <w:color w:val="000000"/>
                <w:szCs w:val="24"/>
              </w:rPr>
              <w:t>Revenue Adjustment Act</w:t>
            </w:r>
          </w:p>
          <w:p w:rsidR="00EA25FC" w:rsidRPr="00345793" w:rsidRDefault="00EA25FC" w:rsidP="004D6D1E">
            <w:pPr>
              <w:spacing w:line="240" w:lineRule="auto"/>
              <w:jc w:val="center"/>
              <w:rPr>
                <w:color w:val="000000"/>
                <w:szCs w:val="24"/>
              </w:rPr>
            </w:pPr>
          </w:p>
        </w:tc>
        <w:tc>
          <w:tcPr>
            <w:tcW w:w="2558" w:type="dxa"/>
          </w:tcPr>
          <w:p w:rsidR="00EA25FC" w:rsidRPr="00345793" w:rsidRDefault="00EA25FC" w:rsidP="004D6D1E">
            <w:pPr>
              <w:spacing w:line="240" w:lineRule="auto"/>
              <w:rPr>
                <w:szCs w:val="24"/>
              </w:rPr>
            </w:pPr>
            <w:r>
              <w:rPr>
                <w:szCs w:val="24"/>
              </w:rPr>
              <w:t>Tax cut and small federal spending cut.</w:t>
            </w:r>
          </w:p>
        </w:tc>
        <w:tc>
          <w:tcPr>
            <w:tcW w:w="808" w:type="dxa"/>
          </w:tcPr>
          <w:p w:rsidR="00EA25FC" w:rsidRPr="00345793" w:rsidRDefault="00EA25FC" w:rsidP="004D6D1E">
            <w:pPr>
              <w:spacing w:line="240" w:lineRule="auto"/>
              <w:rPr>
                <w:color w:val="000000"/>
                <w:szCs w:val="24"/>
              </w:rPr>
            </w:pPr>
            <w:r w:rsidRPr="00345793">
              <w:rPr>
                <w:color w:val="000000"/>
                <w:szCs w:val="24"/>
              </w:rPr>
              <w:t>H.R. 9968</w:t>
            </w:r>
          </w:p>
          <w:p w:rsidR="00EA25FC" w:rsidRPr="00345793" w:rsidRDefault="00EA25FC" w:rsidP="004D6D1E">
            <w:pPr>
              <w:spacing w:line="240" w:lineRule="auto"/>
              <w:rPr>
                <w:szCs w:val="24"/>
              </w:rPr>
            </w:pPr>
          </w:p>
        </w:tc>
        <w:tc>
          <w:tcPr>
            <w:tcW w:w="1161" w:type="dxa"/>
          </w:tcPr>
          <w:p w:rsidR="00EA25FC" w:rsidRPr="00345793" w:rsidRDefault="00EA25FC" w:rsidP="004D6D1E">
            <w:pPr>
              <w:spacing w:line="240" w:lineRule="auto"/>
              <w:rPr>
                <w:szCs w:val="24"/>
              </w:rPr>
            </w:pPr>
            <w:r w:rsidRPr="00345793">
              <w:rPr>
                <w:szCs w:val="24"/>
              </w:rPr>
              <w:t>94</w:t>
            </w:r>
            <w:r w:rsidRPr="00345793">
              <w:rPr>
                <w:szCs w:val="24"/>
                <w:vertAlign w:val="superscript"/>
              </w:rPr>
              <w:t>th</w:t>
            </w:r>
          </w:p>
        </w:tc>
        <w:tc>
          <w:tcPr>
            <w:tcW w:w="1161" w:type="dxa"/>
          </w:tcPr>
          <w:p w:rsidR="00EA25FC" w:rsidRPr="00345793" w:rsidRDefault="00EA25FC" w:rsidP="004D6D1E">
            <w:pPr>
              <w:spacing w:line="240" w:lineRule="auto"/>
              <w:rPr>
                <w:color w:val="000000"/>
                <w:szCs w:val="24"/>
              </w:rPr>
            </w:pPr>
            <w:r w:rsidRPr="00345793">
              <w:rPr>
                <w:color w:val="000000"/>
                <w:szCs w:val="24"/>
              </w:rPr>
              <w:t>83</w:t>
            </w:r>
          </w:p>
          <w:p w:rsidR="00EA25FC" w:rsidRPr="00345793" w:rsidRDefault="00EA25FC" w:rsidP="004D6D1E">
            <w:pPr>
              <w:spacing w:line="240" w:lineRule="auto"/>
              <w:rPr>
                <w:szCs w:val="24"/>
              </w:rPr>
            </w:pPr>
          </w:p>
        </w:tc>
        <w:tc>
          <w:tcPr>
            <w:tcW w:w="1628" w:type="dxa"/>
          </w:tcPr>
          <w:p w:rsidR="00EA25FC" w:rsidRPr="00345793" w:rsidRDefault="00EA25FC" w:rsidP="004D6D1E">
            <w:pPr>
              <w:spacing w:line="240" w:lineRule="auto"/>
              <w:rPr>
                <w:color w:val="000000"/>
                <w:szCs w:val="24"/>
              </w:rPr>
            </w:pPr>
            <w:r w:rsidRPr="00345793">
              <w:rPr>
                <w:color w:val="000000"/>
                <w:szCs w:val="24"/>
              </w:rPr>
              <w:t>4,492</w:t>
            </w:r>
          </w:p>
        </w:tc>
      </w:tr>
      <w:tr w:rsidR="00EA25FC" w:rsidTr="004D6D1E">
        <w:trPr>
          <w:trHeight w:val="544"/>
        </w:trPr>
        <w:tc>
          <w:tcPr>
            <w:tcW w:w="7254" w:type="dxa"/>
            <w:gridSpan w:val="4"/>
          </w:tcPr>
          <w:p w:rsidR="00EA25FC" w:rsidRPr="004720E6" w:rsidRDefault="00EA25FC" w:rsidP="004D6D1E">
            <w:pPr>
              <w:spacing w:line="240" w:lineRule="auto"/>
              <w:rPr>
                <w:b/>
                <w:szCs w:val="24"/>
              </w:rPr>
            </w:pPr>
            <w:r w:rsidRPr="004720E6">
              <w:rPr>
                <w:b/>
                <w:szCs w:val="24"/>
              </w:rPr>
              <w:t>Average</w:t>
            </w:r>
          </w:p>
        </w:tc>
        <w:tc>
          <w:tcPr>
            <w:tcW w:w="1161" w:type="dxa"/>
          </w:tcPr>
          <w:p w:rsidR="00EA25FC" w:rsidRPr="004720E6" w:rsidRDefault="00EA25FC" w:rsidP="004D6D1E">
            <w:pPr>
              <w:spacing w:line="240" w:lineRule="auto"/>
              <w:rPr>
                <w:rFonts w:ascii="Calibri" w:hAnsi="Calibri"/>
                <w:b/>
                <w:color w:val="000000"/>
                <w:sz w:val="22"/>
              </w:rPr>
            </w:pPr>
            <w:r w:rsidRPr="004720E6">
              <w:rPr>
                <w:rFonts w:ascii="Calibri" w:hAnsi="Calibri"/>
                <w:b/>
                <w:color w:val="000000"/>
                <w:sz w:val="22"/>
              </w:rPr>
              <w:t>106.8</w:t>
            </w:r>
          </w:p>
          <w:p w:rsidR="00EA25FC" w:rsidRPr="004720E6" w:rsidRDefault="00EA25FC" w:rsidP="004D6D1E">
            <w:pPr>
              <w:spacing w:line="240" w:lineRule="auto"/>
              <w:rPr>
                <w:b/>
                <w:szCs w:val="24"/>
              </w:rPr>
            </w:pPr>
          </w:p>
        </w:tc>
        <w:tc>
          <w:tcPr>
            <w:tcW w:w="1628" w:type="dxa"/>
          </w:tcPr>
          <w:p w:rsidR="00EA25FC" w:rsidRPr="004720E6" w:rsidRDefault="00EA25FC" w:rsidP="004D6D1E">
            <w:pPr>
              <w:spacing w:line="240" w:lineRule="auto"/>
              <w:rPr>
                <w:rFonts w:ascii="Calibri" w:hAnsi="Calibri"/>
                <w:b/>
                <w:color w:val="000000"/>
                <w:sz w:val="22"/>
              </w:rPr>
            </w:pPr>
            <w:r w:rsidRPr="004720E6">
              <w:rPr>
                <w:rFonts w:ascii="Calibri" w:hAnsi="Calibri"/>
                <w:b/>
                <w:color w:val="000000"/>
                <w:sz w:val="22"/>
              </w:rPr>
              <w:t>18,826.2</w:t>
            </w:r>
          </w:p>
          <w:p w:rsidR="00EA25FC" w:rsidRPr="004720E6" w:rsidRDefault="00EA25FC" w:rsidP="004D6D1E">
            <w:pPr>
              <w:spacing w:line="240" w:lineRule="auto"/>
              <w:rPr>
                <w:b/>
                <w:bCs/>
                <w:color w:val="000000"/>
                <w:szCs w:val="24"/>
              </w:rPr>
            </w:pPr>
          </w:p>
        </w:tc>
      </w:tr>
    </w:tbl>
    <w:p w:rsidR="00B14840" w:rsidRDefault="00B14840">
      <w:pPr>
        <w:spacing w:line="259" w:lineRule="auto"/>
      </w:pPr>
    </w:p>
    <w:tbl>
      <w:tblPr>
        <w:tblStyle w:val="TableGrid"/>
        <w:tblW w:w="5000" w:type="pct"/>
        <w:tblLook w:val="04A0" w:firstRow="1" w:lastRow="0" w:firstColumn="1" w:lastColumn="0" w:noHBand="0" w:noVBand="1"/>
      </w:tblPr>
      <w:tblGrid>
        <w:gridCol w:w="2201"/>
        <w:gridCol w:w="1997"/>
        <w:gridCol w:w="832"/>
        <w:gridCol w:w="1272"/>
        <w:gridCol w:w="1472"/>
        <w:gridCol w:w="1576"/>
      </w:tblGrid>
      <w:tr w:rsidR="0038184B" w:rsidRPr="000E59F7" w:rsidTr="0038184B">
        <w:tc>
          <w:tcPr>
            <w:tcW w:w="5000" w:type="pct"/>
            <w:gridSpan w:val="6"/>
          </w:tcPr>
          <w:p w:rsidR="0038184B" w:rsidRPr="000E59F7" w:rsidRDefault="0038184B" w:rsidP="0038184B">
            <w:pPr>
              <w:rPr>
                <w:b/>
              </w:rPr>
            </w:pPr>
            <w:r>
              <w:rPr>
                <w:b/>
              </w:rPr>
              <w:t>Table XXX:</w:t>
            </w:r>
            <w:r w:rsidRPr="00EB4B62">
              <w:rPr>
                <w:b/>
              </w:rPr>
              <w:t xml:space="preserve"> Overview of </w:t>
            </w:r>
            <w:r>
              <w:rPr>
                <w:b/>
              </w:rPr>
              <w:t>Early 1980s Crisis</w:t>
            </w:r>
            <w:r w:rsidR="00380170">
              <w:rPr>
                <w:b/>
              </w:rPr>
              <w:t xml:space="preserve"> Laws</w:t>
            </w:r>
          </w:p>
        </w:tc>
      </w:tr>
      <w:tr w:rsidR="0038184B" w:rsidRPr="000E59F7" w:rsidTr="0038184B">
        <w:tc>
          <w:tcPr>
            <w:tcW w:w="1177" w:type="pct"/>
          </w:tcPr>
          <w:p w:rsidR="0038184B" w:rsidRPr="00AC6F4A" w:rsidRDefault="0038184B" w:rsidP="0038184B">
            <w:pPr>
              <w:spacing w:line="240" w:lineRule="auto"/>
              <w:rPr>
                <w:b/>
              </w:rPr>
            </w:pPr>
            <w:r w:rsidRPr="00AC6F4A">
              <w:rPr>
                <w:b/>
              </w:rPr>
              <w:t>Law Title</w:t>
            </w:r>
          </w:p>
        </w:tc>
        <w:tc>
          <w:tcPr>
            <w:tcW w:w="1068" w:type="pct"/>
          </w:tcPr>
          <w:p w:rsidR="0038184B" w:rsidRPr="00AC6F4A" w:rsidRDefault="0038184B" w:rsidP="0038184B">
            <w:pPr>
              <w:spacing w:line="240" w:lineRule="auto"/>
              <w:rPr>
                <w:b/>
              </w:rPr>
            </w:pPr>
            <w:r w:rsidRPr="00AC6F4A">
              <w:rPr>
                <w:b/>
              </w:rPr>
              <w:t>Summary</w:t>
            </w:r>
          </w:p>
        </w:tc>
        <w:tc>
          <w:tcPr>
            <w:tcW w:w="445" w:type="pct"/>
          </w:tcPr>
          <w:p w:rsidR="0038184B" w:rsidRPr="00AC6F4A" w:rsidRDefault="0038184B" w:rsidP="0038184B">
            <w:pPr>
              <w:spacing w:line="240" w:lineRule="auto"/>
              <w:rPr>
                <w:b/>
              </w:rPr>
            </w:pPr>
            <w:r w:rsidRPr="00AC6F4A">
              <w:rPr>
                <w:b/>
              </w:rPr>
              <w:t>Law</w:t>
            </w:r>
          </w:p>
        </w:tc>
        <w:tc>
          <w:tcPr>
            <w:tcW w:w="680" w:type="pct"/>
          </w:tcPr>
          <w:p w:rsidR="0038184B" w:rsidRPr="00AC6F4A" w:rsidRDefault="0038184B" w:rsidP="0038184B">
            <w:pPr>
              <w:spacing w:line="240" w:lineRule="auto"/>
              <w:rPr>
                <w:b/>
              </w:rPr>
            </w:pPr>
            <w:r w:rsidRPr="00AC6F4A">
              <w:rPr>
                <w:b/>
              </w:rPr>
              <w:t>Congress</w:t>
            </w:r>
          </w:p>
        </w:tc>
        <w:tc>
          <w:tcPr>
            <w:tcW w:w="787" w:type="pct"/>
          </w:tcPr>
          <w:p w:rsidR="0038184B" w:rsidRPr="00AC6F4A" w:rsidRDefault="0038184B" w:rsidP="0038184B">
            <w:pPr>
              <w:spacing w:line="240" w:lineRule="auto"/>
              <w:rPr>
                <w:b/>
              </w:rPr>
            </w:pPr>
            <w:r>
              <w:rPr>
                <w:b/>
              </w:rPr>
              <w:t>Word Count</w:t>
            </w:r>
          </w:p>
        </w:tc>
        <w:tc>
          <w:tcPr>
            <w:tcW w:w="843" w:type="pct"/>
          </w:tcPr>
          <w:p w:rsidR="0038184B" w:rsidRPr="00AC6F4A" w:rsidRDefault="0038184B" w:rsidP="0038184B">
            <w:pPr>
              <w:spacing w:line="240" w:lineRule="auto"/>
              <w:rPr>
                <w:b/>
              </w:rPr>
            </w:pPr>
            <w:r w:rsidRPr="00AC6F4A">
              <w:rPr>
                <w:b/>
              </w:rPr>
              <w:t xml:space="preserve">Time in Congress </w:t>
            </w:r>
          </w:p>
        </w:tc>
      </w:tr>
      <w:tr w:rsidR="0038184B" w:rsidRPr="00FA5A54" w:rsidTr="0038184B">
        <w:tc>
          <w:tcPr>
            <w:tcW w:w="1177" w:type="pct"/>
          </w:tcPr>
          <w:p w:rsidR="0038184B" w:rsidRDefault="0038184B" w:rsidP="0038184B">
            <w:pPr>
              <w:spacing w:line="240" w:lineRule="auto"/>
            </w:pPr>
            <w:r w:rsidRPr="00BC01E0">
              <w:t>Chrysler Corporation Loan Guarantee Act of 1979</w:t>
            </w:r>
          </w:p>
        </w:tc>
        <w:tc>
          <w:tcPr>
            <w:tcW w:w="1068" w:type="pct"/>
          </w:tcPr>
          <w:p w:rsidR="0038184B" w:rsidRDefault="0038184B" w:rsidP="0038184B">
            <w:pPr>
              <w:spacing w:line="240" w:lineRule="auto"/>
            </w:pPr>
            <w:r>
              <w:t xml:space="preserve">Loan to Chrysler of $1.7 billion  </w:t>
            </w:r>
          </w:p>
        </w:tc>
        <w:tc>
          <w:tcPr>
            <w:tcW w:w="445" w:type="pct"/>
          </w:tcPr>
          <w:p w:rsidR="0038184B" w:rsidRDefault="0038184B" w:rsidP="0038184B">
            <w:pPr>
              <w:spacing w:line="240" w:lineRule="auto"/>
            </w:pPr>
            <w:r>
              <w:t>H.R 5860</w:t>
            </w:r>
          </w:p>
        </w:tc>
        <w:tc>
          <w:tcPr>
            <w:tcW w:w="680" w:type="pct"/>
          </w:tcPr>
          <w:p w:rsidR="0038184B" w:rsidRPr="0049347B" w:rsidRDefault="0038184B" w:rsidP="0038184B">
            <w:pPr>
              <w:spacing w:line="240" w:lineRule="auto"/>
            </w:pPr>
            <w:r>
              <w:t>96</w:t>
            </w:r>
            <w:r w:rsidRPr="00BC01E0">
              <w:rPr>
                <w:vertAlign w:val="superscript"/>
              </w:rPr>
              <w:t>th</w:t>
            </w:r>
            <w:r>
              <w:t xml:space="preserve"> </w:t>
            </w:r>
          </w:p>
        </w:tc>
        <w:tc>
          <w:tcPr>
            <w:tcW w:w="787" w:type="pct"/>
          </w:tcPr>
          <w:p w:rsidR="0038184B" w:rsidRDefault="0038184B" w:rsidP="0038184B">
            <w:pPr>
              <w:spacing w:line="240" w:lineRule="auto"/>
              <w:rPr>
                <w:rFonts w:ascii="Calibri" w:hAnsi="Calibri"/>
                <w:color w:val="000000"/>
                <w:sz w:val="22"/>
              </w:rPr>
            </w:pPr>
            <w:r>
              <w:rPr>
                <w:rFonts w:ascii="Calibri" w:hAnsi="Calibri"/>
                <w:color w:val="000000"/>
                <w:sz w:val="22"/>
              </w:rPr>
              <w:t>7,084</w:t>
            </w:r>
          </w:p>
          <w:p w:rsidR="0038184B" w:rsidRDefault="0038184B" w:rsidP="0038184B">
            <w:pPr>
              <w:spacing w:line="240" w:lineRule="auto"/>
            </w:pPr>
          </w:p>
        </w:tc>
        <w:tc>
          <w:tcPr>
            <w:tcW w:w="843" w:type="pct"/>
          </w:tcPr>
          <w:p w:rsidR="0038184B" w:rsidRDefault="0038184B" w:rsidP="0038184B">
            <w:pPr>
              <w:spacing w:line="240" w:lineRule="auto"/>
              <w:rPr>
                <w:rFonts w:ascii="Calibri" w:hAnsi="Calibri"/>
                <w:color w:val="000000"/>
                <w:sz w:val="22"/>
              </w:rPr>
            </w:pPr>
            <w:r>
              <w:rPr>
                <w:rFonts w:ascii="Calibri" w:hAnsi="Calibri"/>
                <w:color w:val="000000"/>
                <w:sz w:val="22"/>
              </w:rPr>
              <w:t>60</w:t>
            </w:r>
          </w:p>
        </w:tc>
      </w:tr>
      <w:tr w:rsidR="0038184B" w:rsidRPr="00FA5A54" w:rsidTr="0038184B">
        <w:tc>
          <w:tcPr>
            <w:tcW w:w="1177" w:type="pct"/>
          </w:tcPr>
          <w:p w:rsidR="0038184B" w:rsidRPr="001F4B7C" w:rsidRDefault="0038184B" w:rsidP="0038184B">
            <w:pPr>
              <w:spacing w:line="240" w:lineRule="auto"/>
            </w:pPr>
            <w:r>
              <w:t xml:space="preserve">Depository Institutions Deregulation and Monetary Control Act of 1980 </w:t>
            </w:r>
          </w:p>
        </w:tc>
        <w:tc>
          <w:tcPr>
            <w:tcW w:w="1068" w:type="pct"/>
          </w:tcPr>
          <w:p w:rsidR="0038184B" w:rsidRPr="00ED2ED7" w:rsidRDefault="0038184B" w:rsidP="0038184B">
            <w:pPr>
              <w:spacing w:line="240" w:lineRule="auto"/>
            </w:pPr>
            <w:r>
              <w:t>Phasing out of regulation Q, homogenizing rules for banks, increased reserve requirements</w:t>
            </w:r>
          </w:p>
        </w:tc>
        <w:tc>
          <w:tcPr>
            <w:tcW w:w="445" w:type="pct"/>
          </w:tcPr>
          <w:p w:rsidR="0038184B" w:rsidRPr="000E59F7" w:rsidRDefault="0038184B" w:rsidP="0038184B">
            <w:pPr>
              <w:spacing w:line="240" w:lineRule="auto"/>
            </w:pPr>
            <w:r>
              <w:t>H.R. 4986</w:t>
            </w:r>
          </w:p>
        </w:tc>
        <w:tc>
          <w:tcPr>
            <w:tcW w:w="680" w:type="pct"/>
          </w:tcPr>
          <w:p w:rsidR="0038184B" w:rsidRPr="0049347B" w:rsidRDefault="0038184B" w:rsidP="0038184B">
            <w:pPr>
              <w:spacing w:line="240" w:lineRule="auto"/>
            </w:pPr>
            <w:r w:rsidRPr="0049347B">
              <w:t>96</w:t>
            </w:r>
            <w:r w:rsidRPr="0049347B">
              <w:rPr>
                <w:vertAlign w:val="superscript"/>
              </w:rPr>
              <w:t>th</w:t>
            </w:r>
            <w:r w:rsidRPr="0049347B">
              <w:t xml:space="preserve"> </w:t>
            </w:r>
          </w:p>
        </w:tc>
        <w:tc>
          <w:tcPr>
            <w:tcW w:w="787" w:type="pct"/>
          </w:tcPr>
          <w:p w:rsidR="0038184B" w:rsidRPr="000E59F7" w:rsidRDefault="0038184B" w:rsidP="0038184B">
            <w:pPr>
              <w:spacing w:line="240" w:lineRule="auto"/>
            </w:pPr>
            <w:r>
              <w:rPr>
                <w:rFonts w:ascii="Calibri" w:hAnsi="Calibri"/>
                <w:color w:val="000000"/>
                <w:sz w:val="22"/>
              </w:rPr>
              <w:t>32,993</w:t>
            </w:r>
          </w:p>
        </w:tc>
        <w:tc>
          <w:tcPr>
            <w:tcW w:w="843" w:type="pct"/>
          </w:tcPr>
          <w:p w:rsidR="0038184B" w:rsidRDefault="0038184B" w:rsidP="0038184B">
            <w:pPr>
              <w:spacing w:line="240" w:lineRule="auto"/>
              <w:rPr>
                <w:rFonts w:ascii="Calibri" w:hAnsi="Calibri"/>
                <w:color w:val="000000"/>
                <w:sz w:val="22"/>
              </w:rPr>
            </w:pPr>
            <w:r>
              <w:t>249</w:t>
            </w:r>
          </w:p>
          <w:p w:rsidR="0038184B" w:rsidRPr="00FA5A54" w:rsidRDefault="0038184B" w:rsidP="0038184B">
            <w:pPr>
              <w:spacing w:line="240" w:lineRule="auto"/>
            </w:pPr>
          </w:p>
        </w:tc>
      </w:tr>
      <w:tr w:rsidR="0038184B" w:rsidRPr="00FA5A54" w:rsidTr="0038184B">
        <w:tc>
          <w:tcPr>
            <w:tcW w:w="1177" w:type="pct"/>
          </w:tcPr>
          <w:p w:rsidR="0038184B" w:rsidRDefault="0038184B" w:rsidP="0038184B">
            <w:pPr>
              <w:spacing w:line="240" w:lineRule="auto"/>
            </w:pPr>
            <w:r>
              <w:t xml:space="preserve">Economic Recovery </w:t>
            </w:r>
            <w:r w:rsidR="0040182D">
              <w:t xml:space="preserve">Tax </w:t>
            </w:r>
            <w:r>
              <w:t>Act of 1981</w:t>
            </w:r>
          </w:p>
        </w:tc>
        <w:tc>
          <w:tcPr>
            <w:tcW w:w="1068" w:type="pct"/>
          </w:tcPr>
          <w:p w:rsidR="0038184B" w:rsidRPr="0016721C" w:rsidRDefault="0038184B" w:rsidP="0038184B">
            <w:pPr>
              <w:spacing w:line="240" w:lineRule="auto"/>
            </w:pPr>
            <w:r w:rsidRPr="0016721C">
              <w:t>Major</w:t>
            </w:r>
            <w:r>
              <w:t xml:space="preserve"> tax cuts for citizens and corporations</w:t>
            </w:r>
          </w:p>
        </w:tc>
        <w:tc>
          <w:tcPr>
            <w:tcW w:w="445" w:type="pct"/>
          </w:tcPr>
          <w:p w:rsidR="0038184B" w:rsidRPr="000E59F7" w:rsidRDefault="0038184B" w:rsidP="0038184B">
            <w:pPr>
              <w:spacing w:line="240" w:lineRule="auto"/>
            </w:pPr>
            <w:r>
              <w:t>H.R. 4242</w:t>
            </w:r>
          </w:p>
        </w:tc>
        <w:tc>
          <w:tcPr>
            <w:tcW w:w="680" w:type="pct"/>
          </w:tcPr>
          <w:p w:rsidR="0038184B" w:rsidRPr="00D518D6" w:rsidRDefault="0038184B" w:rsidP="0038184B">
            <w:pPr>
              <w:spacing w:line="240" w:lineRule="auto"/>
            </w:pPr>
            <w:r w:rsidRPr="00D518D6">
              <w:t>97</w:t>
            </w:r>
            <w:r w:rsidRPr="00D518D6">
              <w:rPr>
                <w:vertAlign w:val="superscript"/>
              </w:rPr>
              <w:t>th</w:t>
            </w:r>
            <w:r w:rsidRPr="00D518D6">
              <w:t xml:space="preserve"> </w:t>
            </w:r>
          </w:p>
        </w:tc>
        <w:tc>
          <w:tcPr>
            <w:tcW w:w="787" w:type="pct"/>
          </w:tcPr>
          <w:tbl>
            <w:tblPr>
              <w:tblW w:w="1220" w:type="dxa"/>
              <w:tblLook w:val="04A0" w:firstRow="1" w:lastRow="0" w:firstColumn="1" w:lastColumn="0" w:noHBand="0" w:noVBand="1"/>
            </w:tblPr>
            <w:tblGrid>
              <w:gridCol w:w="1220"/>
            </w:tblGrid>
            <w:tr w:rsidR="0038184B" w:rsidRPr="00FA5A54" w:rsidTr="00A825C3">
              <w:trPr>
                <w:trHeight w:val="300"/>
              </w:trPr>
              <w:tc>
                <w:tcPr>
                  <w:tcW w:w="1220" w:type="dxa"/>
                  <w:tcBorders>
                    <w:top w:val="nil"/>
                    <w:left w:val="nil"/>
                    <w:bottom w:val="nil"/>
                    <w:right w:val="nil"/>
                  </w:tcBorders>
                  <w:shd w:val="clear" w:color="auto" w:fill="auto"/>
                  <w:noWrap/>
                  <w:vAlign w:val="bottom"/>
                  <w:hideMark/>
                </w:tcPr>
                <w:p w:rsidR="0038184B" w:rsidRPr="00FA5A54" w:rsidRDefault="0038184B" w:rsidP="0038184B">
                  <w:pPr>
                    <w:spacing w:line="240" w:lineRule="auto"/>
                    <w:rPr>
                      <w:rFonts w:ascii="Calibri" w:eastAsia="Times New Roman" w:hAnsi="Calibri" w:cs="Times New Roman"/>
                      <w:bCs/>
                      <w:color w:val="000000"/>
                    </w:rPr>
                  </w:pPr>
                  <w:r w:rsidRPr="00FA5A54">
                    <w:rPr>
                      <w:rFonts w:ascii="Calibri" w:eastAsia="Times New Roman" w:hAnsi="Calibri" w:cs="Times New Roman"/>
                      <w:bCs/>
                      <w:color w:val="000000"/>
                    </w:rPr>
                    <w:t>86</w:t>
                  </w:r>
                  <w:r>
                    <w:rPr>
                      <w:rFonts w:ascii="Calibri" w:eastAsia="Times New Roman" w:hAnsi="Calibri" w:cs="Times New Roman"/>
                      <w:bCs/>
                      <w:color w:val="000000"/>
                    </w:rPr>
                    <w:t>,</w:t>
                  </w:r>
                  <w:r w:rsidRPr="00FA5A54">
                    <w:rPr>
                      <w:rFonts w:ascii="Calibri" w:eastAsia="Times New Roman" w:hAnsi="Calibri" w:cs="Times New Roman"/>
                      <w:bCs/>
                      <w:color w:val="000000"/>
                    </w:rPr>
                    <w:t>315</w:t>
                  </w:r>
                </w:p>
              </w:tc>
            </w:tr>
            <w:tr w:rsidR="0038184B" w:rsidRPr="00FA5A54" w:rsidTr="00A825C3">
              <w:trPr>
                <w:trHeight w:val="300"/>
              </w:trPr>
              <w:tc>
                <w:tcPr>
                  <w:tcW w:w="1220" w:type="dxa"/>
                  <w:tcBorders>
                    <w:top w:val="nil"/>
                    <w:left w:val="nil"/>
                    <w:bottom w:val="nil"/>
                    <w:right w:val="nil"/>
                  </w:tcBorders>
                  <w:shd w:val="clear" w:color="auto" w:fill="auto"/>
                  <w:noWrap/>
                  <w:vAlign w:val="bottom"/>
                  <w:hideMark/>
                </w:tcPr>
                <w:p w:rsidR="0038184B" w:rsidRPr="00FA5A54" w:rsidRDefault="0038184B" w:rsidP="0038184B">
                  <w:pPr>
                    <w:spacing w:line="240" w:lineRule="auto"/>
                    <w:rPr>
                      <w:rFonts w:ascii="Calibri" w:eastAsia="Times New Roman" w:hAnsi="Calibri" w:cs="Times New Roman"/>
                      <w:bCs/>
                      <w:color w:val="000000"/>
                    </w:rPr>
                  </w:pPr>
                </w:p>
              </w:tc>
            </w:tr>
          </w:tbl>
          <w:p w:rsidR="0038184B" w:rsidRPr="000E59F7" w:rsidRDefault="0038184B" w:rsidP="0038184B">
            <w:pPr>
              <w:spacing w:line="240" w:lineRule="auto"/>
            </w:pPr>
          </w:p>
        </w:tc>
        <w:tc>
          <w:tcPr>
            <w:tcW w:w="843" w:type="pct"/>
          </w:tcPr>
          <w:p w:rsidR="0038184B" w:rsidRPr="00FA5A54" w:rsidRDefault="0038184B" w:rsidP="0038184B">
            <w:pPr>
              <w:spacing w:line="240" w:lineRule="auto"/>
            </w:pPr>
            <w:r w:rsidRPr="00FA5A54">
              <w:t>22</w:t>
            </w:r>
            <w:r>
              <w:t xml:space="preserve"> </w:t>
            </w:r>
          </w:p>
        </w:tc>
      </w:tr>
      <w:tr w:rsidR="0038184B" w:rsidRPr="00FA5A54" w:rsidTr="0038184B">
        <w:tc>
          <w:tcPr>
            <w:tcW w:w="1177" w:type="pct"/>
          </w:tcPr>
          <w:p w:rsidR="0038184B" w:rsidRDefault="0038184B" w:rsidP="0038184B">
            <w:pPr>
              <w:spacing w:line="240" w:lineRule="auto"/>
            </w:pPr>
            <w:r w:rsidRPr="001F4B7C">
              <w:t>Depository Institutions Act of 1982</w:t>
            </w:r>
            <w:r>
              <w:tab/>
            </w:r>
          </w:p>
        </w:tc>
        <w:tc>
          <w:tcPr>
            <w:tcW w:w="1068" w:type="pct"/>
          </w:tcPr>
          <w:p w:rsidR="0038184B" w:rsidRPr="0016721C" w:rsidRDefault="0038184B" w:rsidP="0038184B">
            <w:pPr>
              <w:spacing w:line="240" w:lineRule="auto"/>
            </w:pPr>
            <w:r>
              <w:t xml:space="preserve">Deregulation in the thrift industry. Increased power for FDIC. </w:t>
            </w:r>
          </w:p>
        </w:tc>
        <w:tc>
          <w:tcPr>
            <w:tcW w:w="445" w:type="pct"/>
          </w:tcPr>
          <w:p w:rsidR="0038184B" w:rsidRPr="000E59F7" w:rsidRDefault="0038184B" w:rsidP="0038184B">
            <w:pPr>
              <w:spacing w:line="240" w:lineRule="auto"/>
            </w:pPr>
          </w:p>
        </w:tc>
        <w:tc>
          <w:tcPr>
            <w:tcW w:w="680" w:type="pct"/>
          </w:tcPr>
          <w:p w:rsidR="0038184B" w:rsidRPr="000E59F7" w:rsidRDefault="0038184B" w:rsidP="0038184B">
            <w:pPr>
              <w:spacing w:line="240" w:lineRule="auto"/>
            </w:pPr>
            <w:r>
              <w:t>97</w:t>
            </w:r>
            <w:r w:rsidRPr="0049347B">
              <w:rPr>
                <w:vertAlign w:val="superscript"/>
              </w:rPr>
              <w:t>th</w:t>
            </w:r>
            <w:r>
              <w:t xml:space="preserve"> </w:t>
            </w:r>
          </w:p>
        </w:tc>
        <w:tc>
          <w:tcPr>
            <w:tcW w:w="787" w:type="pct"/>
          </w:tcPr>
          <w:p w:rsidR="0038184B" w:rsidRPr="000E59F7" w:rsidRDefault="0038184B" w:rsidP="0038184B">
            <w:pPr>
              <w:spacing w:line="240" w:lineRule="auto"/>
            </w:pPr>
            <w:r w:rsidRPr="00FA5A54">
              <w:rPr>
                <w:rFonts w:ascii="Calibri" w:eastAsia="Times New Roman" w:hAnsi="Calibri" w:cs="Times New Roman"/>
                <w:bCs/>
                <w:color w:val="000000"/>
              </w:rPr>
              <w:t>39</w:t>
            </w:r>
            <w:r>
              <w:rPr>
                <w:rFonts w:ascii="Calibri" w:eastAsia="Times New Roman" w:hAnsi="Calibri" w:cs="Times New Roman"/>
                <w:bCs/>
                <w:color w:val="000000"/>
              </w:rPr>
              <w:t>,</w:t>
            </w:r>
            <w:r w:rsidRPr="00FA5A54">
              <w:rPr>
                <w:rFonts w:ascii="Calibri" w:eastAsia="Times New Roman" w:hAnsi="Calibri" w:cs="Times New Roman"/>
                <w:bCs/>
                <w:color w:val="000000"/>
              </w:rPr>
              <w:t>925</w:t>
            </w:r>
          </w:p>
        </w:tc>
        <w:tc>
          <w:tcPr>
            <w:tcW w:w="843" w:type="pct"/>
          </w:tcPr>
          <w:p w:rsidR="0038184B" w:rsidRPr="00FA5A54" w:rsidRDefault="0038184B" w:rsidP="0038184B">
            <w:pPr>
              <w:spacing w:line="240" w:lineRule="auto"/>
            </w:pPr>
            <w:r w:rsidRPr="00FA5A54">
              <w:t>165</w:t>
            </w:r>
          </w:p>
        </w:tc>
      </w:tr>
      <w:tr w:rsidR="0038184B" w:rsidRPr="00FA5A54" w:rsidTr="00A825C3">
        <w:tc>
          <w:tcPr>
            <w:tcW w:w="3370" w:type="pct"/>
            <w:gridSpan w:val="4"/>
          </w:tcPr>
          <w:p w:rsidR="0038184B" w:rsidRPr="00C8297B" w:rsidRDefault="0038184B" w:rsidP="0038184B">
            <w:pPr>
              <w:spacing w:line="240" w:lineRule="auto"/>
              <w:rPr>
                <w:b/>
                <w:szCs w:val="24"/>
              </w:rPr>
            </w:pPr>
            <w:r w:rsidRPr="00C8297B">
              <w:rPr>
                <w:b/>
                <w:szCs w:val="24"/>
              </w:rPr>
              <w:t>Average</w:t>
            </w:r>
          </w:p>
        </w:tc>
        <w:tc>
          <w:tcPr>
            <w:tcW w:w="787" w:type="pct"/>
          </w:tcPr>
          <w:p w:rsidR="0038184B" w:rsidRPr="00C8297B" w:rsidRDefault="0038184B" w:rsidP="0038184B">
            <w:pPr>
              <w:spacing w:line="240" w:lineRule="auto"/>
              <w:rPr>
                <w:rFonts w:ascii="Calibri" w:eastAsia="Times New Roman" w:hAnsi="Calibri" w:cs="Times New Roman"/>
                <w:b/>
                <w:bCs/>
                <w:color w:val="000000"/>
                <w:szCs w:val="24"/>
              </w:rPr>
            </w:pPr>
            <w:r w:rsidRPr="00C8297B">
              <w:rPr>
                <w:b/>
                <w:bCs/>
                <w:color w:val="000000"/>
                <w:szCs w:val="24"/>
              </w:rPr>
              <w:t>41,579.25</w:t>
            </w:r>
          </w:p>
        </w:tc>
        <w:tc>
          <w:tcPr>
            <w:tcW w:w="843" w:type="pct"/>
          </w:tcPr>
          <w:p w:rsidR="0038184B" w:rsidRPr="00C8297B" w:rsidRDefault="0038184B" w:rsidP="0038184B">
            <w:pPr>
              <w:spacing w:line="240" w:lineRule="auto"/>
              <w:rPr>
                <w:b/>
                <w:szCs w:val="24"/>
              </w:rPr>
            </w:pPr>
            <w:r w:rsidRPr="00C8297B">
              <w:rPr>
                <w:b/>
                <w:szCs w:val="24"/>
              </w:rPr>
              <w:t>124</w:t>
            </w:r>
          </w:p>
        </w:tc>
      </w:tr>
    </w:tbl>
    <w:p w:rsidR="00A825C3" w:rsidRDefault="00A825C3"/>
    <w:tbl>
      <w:tblPr>
        <w:tblStyle w:val="TableGrid"/>
        <w:tblW w:w="10043" w:type="dxa"/>
        <w:tblLook w:val="04A0" w:firstRow="1" w:lastRow="0" w:firstColumn="1" w:lastColumn="0" w:noHBand="0" w:noVBand="1"/>
      </w:tblPr>
      <w:tblGrid>
        <w:gridCol w:w="1671"/>
        <w:gridCol w:w="1679"/>
        <w:gridCol w:w="1663"/>
        <w:gridCol w:w="1678"/>
        <w:gridCol w:w="1682"/>
        <w:gridCol w:w="1670"/>
      </w:tblGrid>
      <w:tr w:rsidR="00393814" w:rsidTr="004D6D1E">
        <w:trPr>
          <w:trHeight w:val="557"/>
        </w:trPr>
        <w:tc>
          <w:tcPr>
            <w:tcW w:w="10043" w:type="dxa"/>
            <w:gridSpan w:val="6"/>
          </w:tcPr>
          <w:p w:rsidR="00393814" w:rsidRPr="000E59F7" w:rsidRDefault="00393814" w:rsidP="004D6D1E">
            <w:pPr>
              <w:rPr>
                <w:b/>
              </w:rPr>
            </w:pPr>
            <w:r>
              <w:rPr>
                <w:b/>
              </w:rPr>
              <w:lastRenderedPageBreak/>
              <w:t xml:space="preserve">Table XXX: </w:t>
            </w:r>
            <w:r w:rsidRPr="00EB4B62">
              <w:rPr>
                <w:b/>
              </w:rPr>
              <w:t xml:space="preserve">Table xxx: Overview of </w:t>
            </w:r>
            <w:r>
              <w:rPr>
                <w:b/>
              </w:rPr>
              <w:t>Early 1990s Crisis Laws</w:t>
            </w:r>
          </w:p>
        </w:tc>
      </w:tr>
      <w:tr w:rsidR="00393814" w:rsidTr="004D6D1E">
        <w:trPr>
          <w:trHeight w:val="1088"/>
        </w:trPr>
        <w:tc>
          <w:tcPr>
            <w:tcW w:w="1671" w:type="dxa"/>
          </w:tcPr>
          <w:p w:rsidR="00393814" w:rsidRDefault="00393814" w:rsidP="004D6D1E">
            <w:pPr>
              <w:rPr>
                <w:szCs w:val="24"/>
              </w:rPr>
            </w:pPr>
            <w:r w:rsidRPr="000E59F7">
              <w:rPr>
                <w:b/>
              </w:rPr>
              <w:t>Law Title</w:t>
            </w:r>
          </w:p>
        </w:tc>
        <w:tc>
          <w:tcPr>
            <w:tcW w:w="1679" w:type="dxa"/>
          </w:tcPr>
          <w:p w:rsidR="00393814" w:rsidRDefault="00393814" w:rsidP="004D6D1E">
            <w:pPr>
              <w:rPr>
                <w:szCs w:val="24"/>
              </w:rPr>
            </w:pPr>
            <w:r w:rsidRPr="000E59F7">
              <w:rPr>
                <w:b/>
              </w:rPr>
              <w:t>Summary</w:t>
            </w:r>
          </w:p>
        </w:tc>
        <w:tc>
          <w:tcPr>
            <w:tcW w:w="1663" w:type="dxa"/>
          </w:tcPr>
          <w:p w:rsidR="00393814" w:rsidRDefault="00393814" w:rsidP="004D6D1E">
            <w:pPr>
              <w:rPr>
                <w:szCs w:val="24"/>
              </w:rPr>
            </w:pPr>
            <w:r w:rsidRPr="000E59F7">
              <w:rPr>
                <w:b/>
              </w:rPr>
              <w:t>Law</w:t>
            </w:r>
          </w:p>
        </w:tc>
        <w:tc>
          <w:tcPr>
            <w:tcW w:w="1678" w:type="dxa"/>
          </w:tcPr>
          <w:p w:rsidR="00393814" w:rsidRDefault="00393814" w:rsidP="004D6D1E">
            <w:pPr>
              <w:rPr>
                <w:szCs w:val="24"/>
              </w:rPr>
            </w:pPr>
            <w:r w:rsidRPr="000E59F7">
              <w:rPr>
                <w:b/>
              </w:rPr>
              <w:t>Congress</w:t>
            </w:r>
          </w:p>
        </w:tc>
        <w:tc>
          <w:tcPr>
            <w:tcW w:w="1682" w:type="dxa"/>
          </w:tcPr>
          <w:p w:rsidR="00393814" w:rsidRDefault="00393814" w:rsidP="004D6D1E">
            <w:pPr>
              <w:rPr>
                <w:szCs w:val="24"/>
              </w:rPr>
            </w:pPr>
            <w:r>
              <w:rPr>
                <w:b/>
              </w:rPr>
              <w:t>Days in Congress</w:t>
            </w:r>
          </w:p>
        </w:tc>
        <w:tc>
          <w:tcPr>
            <w:tcW w:w="1670" w:type="dxa"/>
          </w:tcPr>
          <w:p w:rsidR="00393814" w:rsidRDefault="00393814" w:rsidP="004D6D1E">
            <w:pPr>
              <w:rPr>
                <w:szCs w:val="24"/>
              </w:rPr>
            </w:pPr>
            <w:r w:rsidRPr="000E59F7">
              <w:rPr>
                <w:b/>
              </w:rPr>
              <w:t>Word count (page count)</w:t>
            </w:r>
          </w:p>
        </w:tc>
      </w:tr>
      <w:tr w:rsidR="00393814" w:rsidTr="004D6D1E">
        <w:trPr>
          <w:trHeight w:val="544"/>
        </w:trPr>
        <w:tc>
          <w:tcPr>
            <w:tcW w:w="1671" w:type="dxa"/>
          </w:tcPr>
          <w:p w:rsidR="00393814" w:rsidRPr="00BF70B7" w:rsidRDefault="00393814" w:rsidP="004D6D1E">
            <w:pPr>
              <w:spacing w:line="240" w:lineRule="auto"/>
              <w:rPr>
                <w:szCs w:val="24"/>
              </w:rPr>
            </w:pPr>
            <w:r w:rsidRPr="002972FC">
              <w:rPr>
                <w:szCs w:val="24"/>
              </w:rPr>
              <w:t>Resolution Trust Corporation Funding bill</w:t>
            </w:r>
          </w:p>
        </w:tc>
        <w:tc>
          <w:tcPr>
            <w:tcW w:w="1679" w:type="dxa"/>
          </w:tcPr>
          <w:p w:rsidR="00393814" w:rsidRDefault="00393814" w:rsidP="004D6D1E">
            <w:pPr>
              <w:spacing w:line="240" w:lineRule="auto"/>
              <w:rPr>
                <w:szCs w:val="24"/>
              </w:rPr>
            </w:pPr>
            <w:r>
              <w:rPr>
                <w:szCs w:val="24"/>
              </w:rPr>
              <w:t>Additional funding of the RTC</w:t>
            </w:r>
          </w:p>
        </w:tc>
        <w:tc>
          <w:tcPr>
            <w:tcW w:w="1663" w:type="dxa"/>
          </w:tcPr>
          <w:p w:rsidR="00393814" w:rsidRDefault="00393814" w:rsidP="004D6D1E">
            <w:pPr>
              <w:spacing w:line="240" w:lineRule="auto"/>
              <w:rPr>
                <w:szCs w:val="24"/>
              </w:rPr>
            </w:pPr>
            <w:r>
              <w:rPr>
                <w:szCs w:val="24"/>
              </w:rPr>
              <w:t>S. 419</w:t>
            </w:r>
          </w:p>
        </w:tc>
        <w:tc>
          <w:tcPr>
            <w:tcW w:w="1678" w:type="dxa"/>
          </w:tcPr>
          <w:p w:rsidR="00393814" w:rsidRDefault="00393814" w:rsidP="004D6D1E">
            <w:pPr>
              <w:spacing w:line="240" w:lineRule="auto"/>
              <w:rPr>
                <w:szCs w:val="24"/>
              </w:rPr>
            </w:pPr>
            <w:r>
              <w:rPr>
                <w:szCs w:val="24"/>
              </w:rPr>
              <w:t>102</w:t>
            </w:r>
            <w:r w:rsidRPr="002972FC">
              <w:rPr>
                <w:szCs w:val="24"/>
                <w:vertAlign w:val="superscript"/>
              </w:rPr>
              <w:t>nd</w:t>
            </w:r>
            <w:r>
              <w:rPr>
                <w:szCs w:val="24"/>
              </w:rPr>
              <w:t xml:space="preserve"> </w:t>
            </w:r>
          </w:p>
        </w:tc>
        <w:tc>
          <w:tcPr>
            <w:tcW w:w="1682" w:type="dxa"/>
          </w:tcPr>
          <w:p w:rsidR="00393814" w:rsidRDefault="00393814" w:rsidP="004D6D1E">
            <w:pPr>
              <w:spacing w:line="240" w:lineRule="auto"/>
              <w:rPr>
                <w:rFonts w:ascii="Calibri" w:hAnsi="Calibri"/>
                <w:color w:val="000000"/>
                <w:sz w:val="22"/>
              </w:rPr>
            </w:pPr>
            <w:r>
              <w:rPr>
                <w:rFonts w:ascii="Calibri" w:hAnsi="Calibri"/>
                <w:color w:val="000000"/>
                <w:sz w:val="22"/>
              </w:rPr>
              <w:t>38</w:t>
            </w:r>
          </w:p>
          <w:p w:rsidR="00393814" w:rsidRDefault="00393814" w:rsidP="004D6D1E">
            <w:pPr>
              <w:spacing w:line="240" w:lineRule="auto"/>
              <w:rPr>
                <w:szCs w:val="24"/>
              </w:rPr>
            </w:pPr>
          </w:p>
        </w:tc>
        <w:tc>
          <w:tcPr>
            <w:tcW w:w="1670" w:type="dxa"/>
          </w:tcPr>
          <w:p w:rsidR="00393814" w:rsidRDefault="00393814" w:rsidP="004D6D1E">
            <w:pPr>
              <w:spacing w:line="240" w:lineRule="auto"/>
              <w:rPr>
                <w:rFonts w:ascii="Calibri" w:hAnsi="Calibri"/>
                <w:color w:val="000000"/>
                <w:sz w:val="22"/>
              </w:rPr>
            </w:pPr>
            <w:r>
              <w:rPr>
                <w:rFonts w:ascii="Calibri" w:hAnsi="Calibri"/>
                <w:color w:val="000000"/>
                <w:sz w:val="22"/>
              </w:rPr>
              <w:t>3,498</w:t>
            </w:r>
          </w:p>
        </w:tc>
      </w:tr>
      <w:tr w:rsidR="00393814" w:rsidTr="004D6D1E">
        <w:trPr>
          <w:trHeight w:val="544"/>
        </w:trPr>
        <w:tc>
          <w:tcPr>
            <w:tcW w:w="1671" w:type="dxa"/>
          </w:tcPr>
          <w:p w:rsidR="00393814" w:rsidRPr="002B019F" w:rsidRDefault="00393814" w:rsidP="004D6D1E">
            <w:pPr>
              <w:spacing w:line="240" w:lineRule="auto"/>
              <w:rPr>
                <w:szCs w:val="24"/>
              </w:rPr>
            </w:pPr>
            <w:r w:rsidRPr="00BF70B7">
              <w:rPr>
                <w:szCs w:val="24"/>
              </w:rPr>
              <w:t>Emergency Unemployment Compensation Act of 1991</w:t>
            </w:r>
          </w:p>
        </w:tc>
        <w:tc>
          <w:tcPr>
            <w:tcW w:w="1679" w:type="dxa"/>
          </w:tcPr>
          <w:p w:rsidR="00393814" w:rsidRDefault="00393814" w:rsidP="004D6D1E">
            <w:pPr>
              <w:spacing w:line="240" w:lineRule="auto"/>
              <w:rPr>
                <w:szCs w:val="24"/>
              </w:rPr>
            </w:pPr>
            <w:r>
              <w:rPr>
                <w:szCs w:val="24"/>
              </w:rPr>
              <w:t>Extension of unemployment insurance</w:t>
            </w:r>
          </w:p>
        </w:tc>
        <w:tc>
          <w:tcPr>
            <w:tcW w:w="1663" w:type="dxa"/>
          </w:tcPr>
          <w:p w:rsidR="00393814" w:rsidRPr="004526A3" w:rsidRDefault="00393814" w:rsidP="004D6D1E">
            <w:pPr>
              <w:spacing w:line="240" w:lineRule="auto"/>
              <w:rPr>
                <w:szCs w:val="24"/>
              </w:rPr>
            </w:pPr>
            <w:r>
              <w:rPr>
                <w:szCs w:val="24"/>
              </w:rPr>
              <w:t xml:space="preserve">H.R. </w:t>
            </w:r>
            <w:r>
              <w:rPr>
                <w:rFonts w:ascii="Calibri" w:hAnsi="Calibri"/>
                <w:color w:val="000000"/>
                <w:sz w:val="22"/>
              </w:rPr>
              <w:t>3201</w:t>
            </w:r>
          </w:p>
          <w:p w:rsidR="00393814" w:rsidRDefault="00393814" w:rsidP="004D6D1E">
            <w:pPr>
              <w:spacing w:line="240" w:lineRule="auto"/>
              <w:rPr>
                <w:szCs w:val="24"/>
              </w:rPr>
            </w:pPr>
          </w:p>
        </w:tc>
        <w:tc>
          <w:tcPr>
            <w:tcW w:w="1678" w:type="dxa"/>
          </w:tcPr>
          <w:p w:rsidR="00393814" w:rsidRDefault="00393814" w:rsidP="004D6D1E">
            <w:pPr>
              <w:spacing w:line="240" w:lineRule="auto"/>
              <w:rPr>
                <w:szCs w:val="24"/>
              </w:rPr>
            </w:pPr>
            <w:r>
              <w:rPr>
                <w:szCs w:val="24"/>
              </w:rPr>
              <w:t>102</w:t>
            </w:r>
            <w:r w:rsidRPr="004526A3">
              <w:rPr>
                <w:szCs w:val="24"/>
                <w:vertAlign w:val="superscript"/>
              </w:rPr>
              <w:t>nd</w:t>
            </w:r>
            <w:r>
              <w:rPr>
                <w:szCs w:val="24"/>
              </w:rPr>
              <w:t xml:space="preserve"> </w:t>
            </w:r>
          </w:p>
        </w:tc>
        <w:tc>
          <w:tcPr>
            <w:tcW w:w="1682" w:type="dxa"/>
          </w:tcPr>
          <w:p w:rsidR="00393814" w:rsidRDefault="00393814" w:rsidP="004D6D1E">
            <w:pPr>
              <w:spacing w:line="240" w:lineRule="auto"/>
              <w:rPr>
                <w:szCs w:val="24"/>
              </w:rPr>
            </w:pPr>
            <w:r>
              <w:rPr>
                <w:szCs w:val="24"/>
              </w:rPr>
              <w:t>16</w:t>
            </w:r>
          </w:p>
        </w:tc>
        <w:tc>
          <w:tcPr>
            <w:tcW w:w="1670" w:type="dxa"/>
          </w:tcPr>
          <w:p w:rsidR="00393814" w:rsidRDefault="00393814" w:rsidP="004D6D1E">
            <w:pPr>
              <w:spacing w:line="240" w:lineRule="auto"/>
              <w:rPr>
                <w:rFonts w:ascii="Calibri" w:hAnsi="Calibri"/>
                <w:color w:val="000000"/>
                <w:sz w:val="22"/>
              </w:rPr>
            </w:pPr>
            <w:r>
              <w:rPr>
                <w:rFonts w:ascii="Calibri" w:hAnsi="Calibri"/>
                <w:color w:val="000000"/>
                <w:sz w:val="22"/>
              </w:rPr>
              <w:t>3656</w:t>
            </w:r>
          </w:p>
        </w:tc>
      </w:tr>
      <w:tr w:rsidR="00393814" w:rsidTr="004D6D1E">
        <w:trPr>
          <w:trHeight w:val="544"/>
        </w:trPr>
        <w:tc>
          <w:tcPr>
            <w:tcW w:w="1671" w:type="dxa"/>
          </w:tcPr>
          <w:p w:rsidR="00393814" w:rsidRDefault="00393814" w:rsidP="004D6D1E">
            <w:pPr>
              <w:spacing w:line="240" w:lineRule="auto"/>
              <w:rPr>
                <w:szCs w:val="24"/>
              </w:rPr>
            </w:pPr>
            <w:r w:rsidRPr="00EA569F">
              <w:rPr>
                <w:szCs w:val="24"/>
              </w:rPr>
              <w:t>Federal Deposit Insurance Corporation Improvement Act of 1991</w:t>
            </w:r>
          </w:p>
        </w:tc>
        <w:tc>
          <w:tcPr>
            <w:tcW w:w="1679" w:type="dxa"/>
          </w:tcPr>
          <w:p w:rsidR="00393814" w:rsidRDefault="00393814" w:rsidP="004D6D1E">
            <w:pPr>
              <w:spacing w:line="240" w:lineRule="auto"/>
              <w:rPr>
                <w:szCs w:val="24"/>
              </w:rPr>
            </w:pPr>
            <w:r>
              <w:rPr>
                <w:szCs w:val="24"/>
              </w:rPr>
              <w:t>Reregulating the FDIC.</w:t>
            </w:r>
          </w:p>
        </w:tc>
        <w:tc>
          <w:tcPr>
            <w:tcW w:w="1663" w:type="dxa"/>
          </w:tcPr>
          <w:p w:rsidR="00393814" w:rsidRDefault="00393814" w:rsidP="004D6D1E">
            <w:pPr>
              <w:spacing w:line="240" w:lineRule="auto"/>
              <w:rPr>
                <w:szCs w:val="24"/>
              </w:rPr>
            </w:pPr>
            <w:r>
              <w:rPr>
                <w:szCs w:val="24"/>
              </w:rPr>
              <w:t>S. 543</w:t>
            </w:r>
          </w:p>
        </w:tc>
        <w:tc>
          <w:tcPr>
            <w:tcW w:w="1678" w:type="dxa"/>
          </w:tcPr>
          <w:p w:rsidR="00393814" w:rsidRDefault="00393814" w:rsidP="004D6D1E">
            <w:pPr>
              <w:spacing w:line="240" w:lineRule="auto"/>
              <w:rPr>
                <w:szCs w:val="24"/>
              </w:rPr>
            </w:pPr>
            <w:r>
              <w:rPr>
                <w:szCs w:val="24"/>
              </w:rPr>
              <w:t>102</w:t>
            </w:r>
            <w:r w:rsidRPr="004526A3">
              <w:rPr>
                <w:szCs w:val="24"/>
                <w:vertAlign w:val="superscript"/>
              </w:rPr>
              <w:t>nd</w:t>
            </w:r>
            <w:r>
              <w:rPr>
                <w:szCs w:val="24"/>
              </w:rPr>
              <w:t xml:space="preserve"> </w:t>
            </w:r>
          </w:p>
        </w:tc>
        <w:tc>
          <w:tcPr>
            <w:tcW w:w="1682" w:type="dxa"/>
          </w:tcPr>
          <w:p w:rsidR="00393814" w:rsidRDefault="00393814" w:rsidP="004D6D1E">
            <w:pPr>
              <w:spacing w:line="240" w:lineRule="auto"/>
              <w:rPr>
                <w:szCs w:val="24"/>
              </w:rPr>
            </w:pPr>
            <w:r>
              <w:rPr>
                <w:szCs w:val="24"/>
              </w:rPr>
              <w:t>290</w:t>
            </w:r>
          </w:p>
        </w:tc>
        <w:tc>
          <w:tcPr>
            <w:tcW w:w="1670" w:type="dxa"/>
          </w:tcPr>
          <w:p w:rsidR="00393814" w:rsidRDefault="00393814" w:rsidP="004D6D1E">
            <w:pPr>
              <w:spacing w:line="240" w:lineRule="auto"/>
              <w:rPr>
                <w:szCs w:val="24"/>
              </w:rPr>
            </w:pPr>
            <w:r w:rsidRPr="00D56884">
              <w:rPr>
                <w:szCs w:val="24"/>
              </w:rPr>
              <w:t>73111</w:t>
            </w:r>
          </w:p>
        </w:tc>
      </w:tr>
      <w:tr w:rsidR="00393814" w:rsidTr="004D6D1E">
        <w:trPr>
          <w:trHeight w:val="526"/>
        </w:trPr>
        <w:tc>
          <w:tcPr>
            <w:tcW w:w="1671" w:type="dxa"/>
          </w:tcPr>
          <w:p w:rsidR="00393814" w:rsidRDefault="00393814" w:rsidP="004D6D1E">
            <w:pPr>
              <w:spacing w:line="240" w:lineRule="auto"/>
              <w:rPr>
                <w:szCs w:val="24"/>
              </w:rPr>
            </w:pPr>
            <w:r w:rsidRPr="00BA7444">
              <w:rPr>
                <w:szCs w:val="24"/>
              </w:rPr>
              <w:t>Resolution Trust Corporation Refinancing, Restructuring, and Improvement Act of 1991</w:t>
            </w:r>
          </w:p>
        </w:tc>
        <w:tc>
          <w:tcPr>
            <w:tcW w:w="1679" w:type="dxa"/>
          </w:tcPr>
          <w:p w:rsidR="00393814" w:rsidRDefault="00393814" w:rsidP="004D6D1E">
            <w:pPr>
              <w:spacing w:line="240" w:lineRule="auto"/>
              <w:rPr>
                <w:szCs w:val="24"/>
              </w:rPr>
            </w:pPr>
            <w:r>
              <w:rPr>
                <w:szCs w:val="24"/>
              </w:rPr>
              <w:t xml:space="preserve">Additional funding for struggling thrift institutions. </w:t>
            </w:r>
          </w:p>
        </w:tc>
        <w:tc>
          <w:tcPr>
            <w:tcW w:w="1663" w:type="dxa"/>
          </w:tcPr>
          <w:p w:rsidR="00393814" w:rsidRDefault="00393814" w:rsidP="004D6D1E">
            <w:pPr>
              <w:spacing w:line="240" w:lineRule="auto"/>
              <w:rPr>
                <w:szCs w:val="24"/>
              </w:rPr>
            </w:pPr>
            <w:r>
              <w:rPr>
                <w:szCs w:val="24"/>
              </w:rPr>
              <w:t>H.R. 3435</w:t>
            </w:r>
          </w:p>
        </w:tc>
        <w:tc>
          <w:tcPr>
            <w:tcW w:w="1678" w:type="dxa"/>
          </w:tcPr>
          <w:p w:rsidR="00393814" w:rsidRDefault="00393814" w:rsidP="004D6D1E">
            <w:pPr>
              <w:spacing w:line="240" w:lineRule="auto"/>
              <w:rPr>
                <w:szCs w:val="24"/>
              </w:rPr>
            </w:pPr>
            <w:r>
              <w:rPr>
                <w:szCs w:val="24"/>
              </w:rPr>
              <w:t>102</w:t>
            </w:r>
            <w:r w:rsidRPr="004526A3">
              <w:rPr>
                <w:szCs w:val="24"/>
                <w:vertAlign w:val="superscript"/>
              </w:rPr>
              <w:t>nd</w:t>
            </w:r>
            <w:r>
              <w:rPr>
                <w:szCs w:val="24"/>
              </w:rPr>
              <w:t xml:space="preserve"> </w:t>
            </w:r>
          </w:p>
        </w:tc>
        <w:tc>
          <w:tcPr>
            <w:tcW w:w="1682" w:type="dxa"/>
          </w:tcPr>
          <w:p w:rsidR="00393814" w:rsidRDefault="00393814" w:rsidP="004D6D1E">
            <w:pPr>
              <w:spacing w:line="240" w:lineRule="auto"/>
              <w:rPr>
                <w:szCs w:val="24"/>
              </w:rPr>
            </w:pPr>
            <w:r>
              <w:rPr>
                <w:szCs w:val="24"/>
              </w:rPr>
              <w:t>74</w:t>
            </w:r>
          </w:p>
        </w:tc>
        <w:tc>
          <w:tcPr>
            <w:tcW w:w="1670" w:type="dxa"/>
          </w:tcPr>
          <w:p w:rsidR="00393814" w:rsidRDefault="00393814" w:rsidP="004D6D1E">
            <w:pPr>
              <w:spacing w:line="240" w:lineRule="auto"/>
              <w:rPr>
                <w:rFonts w:ascii="Calibri" w:hAnsi="Calibri"/>
                <w:color w:val="000000"/>
                <w:sz w:val="22"/>
              </w:rPr>
            </w:pPr>
            <w:r>
              <w:rPr>
                <w:rFonts w:ascii="Calibri" w:hAnsi="Calibri"/>
                <w:color w:val="000000"/>
                <w:sz w:val="22"/>
              </w:rPr>
              <w:t>13461</w:t>
            </w:r>
          </w:p>
          <w:p w:rsidR="00393814" w:rsidRDefault="00393814" w:rsidP="004D6D1E">
            <w:pPr>
              <w:spacing w:line="240" w:lineRule="auto"/>
              <w:rPr>
                <w:szCs w:val="24"/>
              </w:rPr>
            </w:pPr>
          </w:p>
        </w:tc>
      </w:tr>
      <w:tr w:rsidR="00393814" w:rsidTr="004D6D1E">
        <w:trPr>
          <w:trHeight w:val="526"/>
        </w:trPr>
        <w:tc>
          <w:tcPr>
            <w:tcW w:w="1671" w:type="dxa"/>
          </w:tcPr>
          <w:p w:rsidR="00393814" w:rsidRDefault="00393814" w:rsidP="004D6D1E">
            <w:pPr>
              <w:spacing w:line="240" w:lineRule="auto"/>
              <w:rPr>
                <w:rFonts w:ascii="Calibri" w:hAnsi="Calibri"/>
                <w:color w:val="000000"/>
                <w:sz w:val="22"/>
              </w:rPr>
            </w:pPr>
            <w:r w:rsidRPr="002B019F">
              <w:rPr>
                <w:szCs w:val="24"/>
              </w:rPr>
              <w:t>Emergency Unemployment Compensation Act of 1991</w:t>
            </w:r>
          </w:p>
        </w:tc>
        <w:tc>
          <w:tcPr>
            <w:tcW w:w="1679" w:type="dxa"/>
          </w:tcPr>
          <w:p w:rsidR="00393814" w:rsidRDefault="00393814" w:rsidP="004D6D1E">
            <w:pPr>
              <w:spacing w:line="240" w:lineRule="auto"/>
              <w:rPr>
                <w:szCs w:val="24"/>
              </w:rPr>
            </w:pPr>
            <w:r>
              <w:rPr>
                <w:szCs w:val="24"/>
              </w:rPr>
              <w:t>Extension of unemployment insurance</w:t>
            </w:r>
          </w:p>
        </w:tc>
        <w:tc>
          <w:tcPr>
            <w:tcW w:w="1663" w:type="dxa"/>
          </w:tcPr>
          <w:p w:rsidR="00393814" w:rsidRDefault="00393814" w:rsidP="004D6D1E">
            <w:pPr>
              <w:spacing w:line="240" w:lineRule="auto"/>
              <w:rPr>
                <w:szCs w:val="24"/>
              </w:rPr>
            </w:pPr>
            <w:r>
              <w:rPr>
                <w:szCs w:val="24"/>
              </w:rPr>
              <w:t>H.R. 3575</w:t>
            </w:r>
          </w:p>
          <w:p w:rsidR="00393814" w:rsidRDefault="00393814" w:rsidP="004D6D1E">
            <w:pPr>
              <w:spacing w:line="240" w:lineRule="auto"/>
              <w:rPr>
                <w:szCs w:val="24"/>
              </w:rPr>
            </w:pPr>
          </w:p>
        </w:tc>
        <w:tc>
          <w:tcPr>
            <w:tcW w:w="1678" w:type="dxa"/>
          </w:tcPr>
          <w:p w:rsidR="00393814" w:rsidRDefault="00393814" w:rsidP="004D6D1E">
            <w:pPr>
              <w:spacing w:line="240" w:lineRule="auto"/>
              <w:rPr>
                <w:szCs w:val="24"/>
              </w:rPr>
            </w:pPr>
            <w:r>
              <w:rPr>
                <w:szCs w:val="24"/>
              </w:rPr>
              <w:t>102</w:t>
            </w:r>
            <w:r w:rsidRPr="00603CBC">
              <w:rPr>
                <w:szCs w:val="24"/>
                <w:vertAlign w:val="superscript"/>
              </w:rPr>
              <w:t>nd</w:t>
            </w:r>
            <w:r>
              <w:rPr>
                <w:szCs w:val="24"/>
              </w:rPr>
              <w:t xml:space="preserve"> </w:t>
            </w:r>
          </w:p>
        </w:tc>
        <w:tc>
          <w:tcPr>
            <w:tcW w:w="1682" w:type="dxa"/>
          </w:tcPr>
          <w:p w:rsidR="00393814" w:rsidRDefault="00393814" w:rsidP="004D6D1E">
            <w:pPr>
              <w:spacing w:line="240" w:lineRule="auto"/>
              <w:rPr>
                <w:szCs w:val="24"/>
              </w:rPr>
            </w:pPr>
            <w:r>
              <w:rPr>
                <w:szCs w:val="24"/>
              </w:rPr>
              <w:t>30</w:t>
            </w:r>
          </w:p>
        </w:tc>
        <w:tc>
          <w:tcPr>
            <w:tcW w:w="1670" w:type="dxa"/>
          </w:tcPr>
          <w:p w:rsidR="00393814" w:rsidRDefault="00393814" w:rsidP="004D6D1E">
            <w:pPr>
              <w:spacing w:line="240" w:lineRule="auto"/>
              <w:rPr>
                <w:rFonts w:ascii="Calibri" w:hAnsi="Calibri"/>
                <w:color w:val="000000"/>
                <w:sz w:val="22"/>
              </w:rPr>
            </w:pPr>
            <w:r>
              <w:rPr>
                <w:rFonts w:ascii="Calibri" w:hAnsi="Calibri"/>
                <w:color w:val="000000"/>
                <w:sz w:val="22"/>
              </w:rPr>
              <w:t>9581</w:t>
            </w:r>
          </w:p>
          <w:p w:rsidR="00393814" w:rsidRDefault="00393814" w:rsidP="004D6D1E">
            <w:pPr>
              <w:spacing w:line="240" w:lineRule="auto"/>
              <w:rPr>
                <w:szCs w:val="24"/>
              </w:rPr>
            </w:pPr>
          </w:p>
        </w:tc>
      </w:tr>
      <w:tr w:rsidR="00393814" w:rsidTr="004D6D1E">
        <w:trPr>
          <w:trHeight w:val="526"/>
        </w:trPr>
        <w:tc>
          <w:tcPr>
            <w:tcW w:w="6691" w:type="dxa"/>
            <w:gridSpan w:val="4"/>
          </w:tcPr>
          <w:p w:rsidR="00393814" w:rsidRPr="004C409F" w:rsidRDefault="00393814" w:rsidP="004D6D1E">
            <w:pPr>
              <w:spacing w:line="240" w:lineRule="auto"/>
              <w:rPr>
                <w:b/>
                <w:szCs w:val="24"/>
              </w:rPr>
            </w:pPr>
            <w:r w:rsidRPr="004C409F">
              <w:rPr>
                <w:b/>
                <w:szCs w:val="24"/>
              </w:rPr>
              <w:t>Average</w:t>
            </w:r>
          </w:p>
        </w:tc>
        <w:tc>
          <w:tcPr>
            <w:tcW w:w="1682" w:type="dxa"/>
          </w:tcPr>
          <w:p w:rsidR="00393814" w:rsidRPr="009B010D" w:rsidRDefault="00393814" w:rsidP="004D6D1E">
            <w:pPr>
              <w:spacing w:line="240" w:lineRule="auto"/>
              <w:rPr>
                <w:rFonts w:ascii="Calibri" w:hAnsi="Calibri"/>
                <w:b/>
                <w:color w:val="000000"/>
                <w:sz w:val="22"/>
              </w:rPr>
            </w:pPr>
            <w:r w:rsidRPr="009B010D">
              <w:rPr>
                <w:rFonts w:ascii="Calibri" w:hAnsi="Calibri"/>
                <w:b/>
                <w:color w:val="000000"/>
                <w:sz w:val="22"/>
              </w:rPr>
              <w:t>20661.4</w:t>
            </w:r>
          </w:p>
          <w:p w:rsidR="00393814" w:rsidRPr="009B010D" w:rsidRDefault="00393814" w:rsidP="004D6D1E">
            <w:pPr>
              <w:spacing w:line="240" w:lineRule="auto"/>
              <w:rPr>
                <w:b/>
                <w:szCs w:val="24"/>
              </w:rPr>
            </w:pPr>
          </w:p>
        </w:tc>
        <w:tc>
          <w:tcPr>
            <w:tcW w:w="1670" w:type="dxa"/>
          </w:tcPr>
          <w:p w:rsidR="00393814" w:rsidRPr="009B010D" w:rsidRDefault="00393814" w:rsidP="004D6D1E">
            <w:pPr>
              <w:spacing w:line="240" w:lineRule="auto"/>
              <w:rPr>
                <w:rFonts w:ascii="Calibri" w:hAnsi="Calibri"/>
                <w:b/>
                <w:color w:val="000000"/>
                <w:sz w:val="22"/>
              </w:rPr>
            </w:pPr>
            <w:r>
              <w:rPr>
                <w:rFonts w:ascii="Calibri" w:hAnsi="Calibri"/>
                <w:b/>
                <w:color w:val="000000"/>
                <w:sz w:val="22"/>
              </w:rPr>
              <w:t>89.6</w:t>
            </w:r>
          </w:p>
        </w:tc>
      </w:tr>
    </w:tbl>
    <w:p w:rsidR="00EE70E6" w:rsidRDefault="00EE70E6">
      <w:pPr>
        <w:spacing w:line="259" w:lineRule="auto"/>
      </w:pPr>
    </w:p>
    <w:tbl>
      <w:tblPr>
        <w:tblStyle w:val="TableGrid"/>
        <w:tblW w:w="10043" w:type="dxa"/>
        <w:tblLook w:val="04A0" w:firstRow="1" w:lastRow="0" w:firstColumn="1" w:lastColumn="0" w:noHBand="0" w:noVBand="1"/>
      </w:tblPr>
      <w:tblGrid>
        <w:gridCol w:w="1671"/>
        <w:gridCol w:w="1679"/>
        <w:gridCol w:w="1663"/>
        <w:gridCol w:w="1678"/>
        <w:gridCol w:w="1682"/>
        <w:gridCol w:w="1670"/>
      </w:tblGrid>
      <w:tr w:rsidR="00C022CA" w:rsidRPr="000E59F7" w:rsidTr="004D6D1E">
        <w:trPr>
          <w:trHeight w:val="479"/>
        </w:trPr>
        <w:tc>
          <w:tcPr>
            <w:tcW w:w="10043" w:type="dxa"/>
            <w:gridSpan w:val="6"/>
          </w:tcPr>
          <w:p w:rsidR="00C022CA" w:rsidRPr="000E59F7" w:rsidRDefault="00C022CA" w:rsidP="0046393A">
            <w:pPr>
              <w:spacing w:line="240" w:lineRule="auto"/>
              <w:rPr>
                <w:b/>
              </w:rPr>
            </w:pPr>
            <w:r>
              <w:rPr>
                <w:b/>
              </w:rPr>
              <w:t>Table XXX: Overview of Dot-Com Crisis Laws</w:t>
            </w:r>
          </w:p>
        </w:tc>
      </w:tr>
      <w:tr w:rsidR="00C022CA" w:rsidTr="004D6D1E">
        <w:trPr>
          <w:trHeight w:val="936"/>
        </w:trPr>
        <w:tc>
          <w:tcPr>
            <w:tcW w:w="1671" w:type="dxa"/>
          </w:tcPr>
          <w:p w:rsidR="00C022CA" w:rsidRDefault="00C022CA" w:rsidP="004D6D1E">
            <w:pPr>
              <w:spacing w:line="240" w:lineRule="auto"/>
              <w:rPr>
                <w:szCs w:val="24"/>
              </w:rPr>
            </w:pPr>
            <w:r w:rsidRPr="000E59F7">
              <w:rPr>
                <w:b/>
              </w:rPr>
              <w:t>Law Title</w:t>
            </w:r>
          </w:p>
        </w:tc>
        <w:tc>
          <w:tcPr>
            <w:tcW w:w="1679" w:type="dxa"/>
          </w:tcPr>
          <w:p w:rsidR="00C022CA" w:rsidRDefault="00C022CA" w:rsidP="004D6D1E">
            <w:pPr>
              <w:spacing w:line="240" w:lineRule="auto"/>
              <w:rPr>
                <w:szCs w:val="24"/>
              </w:rPr>
            </w:pPr>
            <w:r w:rsidRPr="000E59F7">
              <w:rPr>
                <w:b/>
              </w:rPr>
              <w:t>Summary</w:t>
            </w:r>
          </w:p>
        </w:tc>
        <w:tc>
          <w:tcPr>
            <w:tcW w:w="1663" w:type="dxa"/>
          </w:tcPr>
          <w:p w:rsidR="00C022CA" w:rsidRDefault="00C022CA" w:rsidP="004D6D1E">
            <w:pPr>
              <w:spacing w:line="240" w:lineRule="auto"/>
              <w:rPr>
                <w:szCs w:val="24"/>
              </w:rPr>
            </w:pPr>
            <w:r w:rsidRPr="000E59F7">
              <w:rPr>
                <w:b/>
              </w:rPr>
              <w:t>Law</w:t>
            </w:r>
          </w:p>
        </w:tc>
        <w:tc>
          <w:tcPr>
            <w:tcW w:w="1678" w:type="dxa"/>
          </w:tcPr>
          <w:p w:rsidR="00C022CA" w:rsidRDefault="00C022CA" w:rsidP="004D6D1E">
            <w:pPr>
              <w:spacing w:line="240" w:lineRule="auto"/>
              <w:rPr>
                <w:szCs w:val="24"/>
              </w:rPr>
            </w:pPr>
            <w:r w:rsidRPr="000E59F7">
              <w:rPr>
                <w:b/>
              </w:rPr>
              <w:t>Congress</w:t>
            </w:r>
          </w:p>
        </w:tc>
        <w:tc>
          <w:tcPr>
            <w:tcW w:w="1682" w:type="dxa"/>
          </w:tcPr>
          <w:p w:rsidR="00C022CA" w:rsidRDefault="00C022CA" w:rsidP="004D6D1E">
            <w:pPr>
              <w:spacing w:line="240" w:lineRule="auto"/>
              <w:rPr>
                <w:szCs w:val="24"/>
              </w:rPr>
            </w:pPr>
            <w:r>
              <w:rPr>
                <w:b/>
              </w:rPr>
              <w:t>Days in Congress</w:t>
            </w:r>
          </w:p>
        </w:tc>
        <w:tc>
          <w:tcPr>
            <w:tcW w:w="1670" w:type="dxa"/>
          </w:tcPr>
          <w:p w:rsidR="00C022CA" w:rsidRDefault="00C022CA" w:rsidP="004D6D1E">
            <w:pPr>
              <w:spacing w:line="240" w:lineRule="auto"/>
              <w:rPr>
                <w:szCs w:val="24"/>
              </w:rPr>
            </w:pPr>
            <w:r w:rsidRPr="000E59F7">
              <w:rPr>
                <w:b/>
              </w:rPr>
              <w:t>Word count (page count)</w:t>
            </w:r>
          </w:p>
        </w:tc>
      </w:tr>
      <w:tr w:rsidR="00C022CA" w:rsidTr="004D6D1E">
        <w:trPr>
          <w:trHeight w:val="936"/>
        </w:trPr>
        <w:tc>
          <w:tcPr>
            <w:tcW w:w="1671" w:type="dxa"/>
          </w:tcPr>
          <w:p w:rsidR="00C022CA" w:rsidRPr="00DC342E" w:rsidRDefault="00C022CA" w:rsidP="004D6D1E">
            <w:pPr>
              <w:spacing w:line="240" w:lineRule="auto"/>
            </w:pPr>
            <w:r w:rsidRPr="00DC342E">
              <w:t>Job Creation and Worker Assistance Act of 2002</w:t>
            </w:r>
          </w:p>
        </w:tc>
        <w:tc>
          <w:tcPr>
            <w:tcW w:w="1679" w:type="dxa"/>
          </w:tcPr>
          <w:p w:rsidR="00C022CA" w:rsidRPr="00DC342E" w:rsidRDefault="00C022CA" w:rsidP="004D6D1E">
            <w:pPr>
              <w:spacing w:line="240" w:lineRule="auto"/>
            </w:pPr>
            <w:r w:rsidRPr="00DC342E">
              <w:t>Tax cuts for workers to stimulate the economy</w:t>
            </w:r>
          </w:p>
        </w:tc>
        <w:tc>
          <w:tcPr>
            <w:tcW w:w="1663" w:type="dxa"/>
          </w:tcPr>
          <w:p w:rsidR="00C022CA" w:rsidRPr="00DC342E" w:rsidRDefault="00C022CA" w:rsidP="004D6D1E">
            <w:pPr>
              <w:spacing w:line="240" w:lineRule="auto"/>
            </w:pPr>
            <w:r w:rsidRPr="00DC342E">
              <w:t>H.R. 3090</w:t>
            </w:r>
          </w:p>
        </w:tc>
        <w:tc>
          <w:tcPr>
            <w:tcW w:w="1678" w:type="dxa"/>
          </w:tcPr>
          <w:p w:rsidR="00C022CA" w:rsidRPr="00DC342E" w:rsidRDefault="00C022CA" w:rsidP="004D6D1E">
            <w:pPr>
              <w:spacing w:line="240" w:lineRule="auto"/>
            </w:pPr>
            <w:r w:rsidRPr="00DC342E">
              <w:t>107</w:t>
            </w:r>
            <w:r w:rsidRPr="00DC342E">
              <w:rPr>
                <w:vertAlign w:val="superscript"/>
              </w:rPr>
              <w:t>th</w:t>
            </w:r>
            <w:r w:rsidRPr="00DC342E">
              <w:t xml:space="preserve"> </w:t>
            </w:r>
          </w:p>
        </w:tc>
        <w:tc>
          <w:tcPr>
            <w:tcW w:w="1682" w:type="dxa"/>
          </w:tcPr>
          <w:p w:rsidR="00C022CA" w:rsidRDefault="00C022CA" w:rsidP="004D6D1E">
            <w:pPr>
              <w:spacing w:line="240" w:lineRule="auto"/>
              <w:rPr>
                <w:rFonts w:ascii="Calibri" w:hAnsi="Calibri"/>
                <w:color w:val="000000"/>
                <w:sz w:val="22"/>
              </w:rPr>
            </w:pPr>
            <w:r>
              <w:rPr>
                <w:rFonts w:ascii="Calibri" w:hAnsi="Calibri"/>
                <w:color w:val="000000"/>
                <w:sz w:val="22"/>
              </w:rPr>
              <w:t>150</w:t>
            </w:r>
          </w:p>
          <w:p w:rsidR="00C022CA" w:rsidRDefault="00C022CA" w:rsidP="004D6D1E">
            <w:pPr>
              <w:spacing w:line="240" w:lineRule="auto"/>
              <w:rPr>
                <w:b/>
              </w:rPr>
            </w:pPr>
          </w:p>
        </w:tc>
        <w:tc>
          <w:tcPr>
            <w:tcW w:w="1670" w:type="dxa"/>
          </w:tcPr>
          <w:p w:rsidR="00C022CA" w:rsidRPr="00EE4F78" w:rsidRDefault="00C022CA" w:rsidP="004D6D1E">
            <w:pPr>
              <w:spacing w:line="240" w:lineRule="auto"/>
            </w:pPr>
            <w:r w:rsidRPr="00EE4F78">
              <w:t>28</w:t>
            </w:r>
            <w:r>
              <w:t>,</w:t>
            </w:r>
            <w:r w:rsidRPr="00EE4F78">
              <w:t>915</w:t>
            </w:r>
          </w:p>
        </w:tc>
      </w:tr>
      <w:tr w:rsidR="00C022CA" w:rsidTr="004D6D1E">
        <w:trPr>
          <w:trHeight w:val="936"/>
        </w:trPr>
        <w:tc>
          <w:tcPr>
            <w:tcW w:w="1671" w:type="dxa"/>
          </w:tcPr>
          <w:p w:rsidR="00C022CA" w:rsidRPr="00DC342E" w:rsidRDefault="00C022CA" w:rsidP="004D6D1E">
            <w:pPr>
              <w:spacing w:line="240" w:lineRule="auto"/>
            </w:pPr>
            <w:r w:rsidRPr="00BB119C">
              <w:lastRenderedPageBreak/>
              <w:t>Sarbanes Oxley Act of 2002</w:t>
            </w:r>
          </w:p>
        </w:tc>
        <w:tc>
          <w:tcPr>
            <w:tcW w:w="1679" w:type="dxa"/>
          </w:tcPr>
          <w:p w:rsidR="00C022CA" w:rsidRPr="00DC342E" w:rsidRDefault="00C022CA" w:rsidP="004D6D1E">
            <w:pPr>
              <w:spacing w:line="240" w:lineRule="auto"/>
            </w:pPr>
            <w:r>
              <w:t>More oversight and regulation for public companies and their accounting standards.</w:t>
            </w:r>
          </w:p>
        </w:tc>
        <w:tc>
          <w:tcPr>
            <w:tcW w:w="1663" w:type="dxa"/>
          </w:tcPr>
          <w:p w:rsidR="00C022CA" w:rsidRPr="00DC342E" w:rsidRDefault="00C022CA" w:rsidP="004D6D1E">
            <w:pPr>
              <w:spacing w:line="240" w:lineRule="auto"/>
            </w:pPr>
            <w:r>
              <w:t>H.R. 3763</w:t>
            </w:r>
          </w:p>
        </w:tc>
        <w:tc>
          <w:tcPr>
            <w:tcW w:w="1678" w:type="dxa"/>
          </w:tcPr>
          <w:p w:rsidR="00C022CA" w:rsidRPr="00DC342E" w:rsidRDefault="00C022CA" w:rsidP="004D6D1E">
            <w:pPr>
              <w:spacing w:line="240" w:lineRule="auto"/>
            </w:pPr>
            <w:r>
              <w:t>108</w:t>
            </w:r>
            <w:r w:rsidRPr="00BB119C">
              <w:rPr>
                <w:vertAlign w:val="superscript"/>
              </w:rPr>
              <w:t>th</w:t>
            </w:r>
            <w:r>
              <w:t xml:space="preserve"> </w:t>
            </w:r>
          </w:p>
        </w:tc>
        <w:tc>
          <w:tcPr>
            <w:tcW w:w="1682" w:type="dxa"/>
          </w:tcPr>
          <w:p w:rsidR="00C022CA" w:rsidRDefault="00C022CA" w:rsidP="004D6D1E">
            <w:pPr>
              <w:spacing w:line="240" w:lineRule="auto"/>
              <w:rPr>
                <w:rFonts w:ascii="Calibri" w:hAnsi="Calibri"/>
                <w:color w:val="000000"/>
                <w:sz w:val="22"/>
              </w:rPr>
            </w:pPr>
            <w:r>
              <w:rPr>
                <w:rFonts w:ascii="Calibri" w:hAnsi="Calibri"/>
                <w:color w:val="000000"/>
                <w:sz w:val="22"/>
              </w:rPr>
              <w:t>167</w:t>
            </w:r>
          </w:p>
          <w:p w:rsidR="00C022CA" w:rsidRDefault="00C022CA" w:rsidP="004D6D1E">
            <w:pPr>
              <w:spacing w:line="240" w:lineRule="auto"/>
              <w:rPr>
                <w:rFonts w:ascii="Calibri" w:hAnsi="Calibri"/>
                <w:color w:val="000000"/>
                <w:sz w:val="22"/>
              </w:rPr>
            </w:pPr>
          </w:p>
        </w:tc>
        <w:tc>
          <w:tcPr>
            <w:tcW w:w="1670" w:type="dxa"/>
          </w:tcPr>
          <w:p w:rsidR="00C022CA" w:rsidRPr="00EE4F78" w:rsidRDefault="00C022CA" w:rsidP="004D6D1E">
            <w:pPr>
              <w:spacing w:line="240" w:lineRule="auto"/>
            </w:pPr>
            <w:r>
              <w:t>17,428</w:t>
            </w:r>
          </w:p>
        </w:tc>
      </w:tr>
      <w:tr w:rsidR="00C022CA" w:rsidTr="004D6D1E">
        <w:trPr>
          <w:trHeight w:val="467"/>
        </w:trPr>
        <w:tc>
          <w:tcPr>
            <w:tcW w:w="6691" w:type="dxa"/>
            <w:gridSpan w:val="4"/>
          </w:tcPr>
          <w:p w:rsidR="00C022CA" w:rsidRPr="00C022CA" w:rsidRDefault="00C022CA" w:rsidP="004D6D1E">
            <w:pPr>
              <w:spacing w:line="240" w:lineRule="auto"/>
              <w:rPr>
                <w:b/>
              </w:rPr>
            </w:pPr>
            <w:r w:rsidRPr="00C022CA">
              <w:rPr>
                <w:b/>
              </w:rPr>
              <w:t>Average:</w:t>
            </w:r>
          </w:p>
        </w:tc>
        <w:tc>
          <w:tcPr>
            <w:tcW w:w="1682" w:type="dxa"/>
          </w:tcPr>
          <w:p w:rsidR="00C022CA" w:rsidRPr="00C022CA" w:rsidRDefault="00C022CA" w:rsidP="004D6D1E">
            <w:pPr>
              <w:spacing w:line="240" w:lineRule="auto"/>
              <w:rPr>
                <w:rFonts w:ascii="Calibri" w:hAnsi="Calibri"/>
                <w:b/>
                <w:color w:val="000000"/>
                <w:sz w:val="22"/>
              </w:rPr>
            </w:pPr>
            <w:r w:rsidRPr="00C022CA">
              <w:rPr>
                <w:rFonts w:ascii="Calibri" w:hAnsi="Calibri"/>
                <w:b/>
                <w:color w:val="000000"/>
                <w:sz w:val="22"/>
              </w:rPr>
              <w:t>158.5</w:t>
            </w:r>
          </w:p>
        </w:tc>
        <w:tc>
          <w:tcPr>
            <w:tcW w:w="1670" w:type="dxa"/>
          </w:tcPr>
          <w:p w:rsidR="00C022CA" w:rsidRPr="00C022CA" w:rsidRDefault="00C022CA" w:rsidP="004D6D1E">
            <w:pPr>
              <w:spacing w:line="240" w:lineRule="auto"/>
              <w:rPr>
                <w:b/>
              </w:rPr>
            </w:pPr>
            <w:r w:rsidRPr="00C022CA">
              <w:rPr>
                <w:b/>
              </w:rPr>
              <w:t>23,171.5</w:t>
            </w:r>
          </w:p>
        </w:tc>
      </w:tr>
    </w:tbl>
    <w:p w:rsidR="00515C5D" w:rsidRDefault="00515C5D" w:rsidP="00E060A8">
      <w:pPr>
        <w:spacing w:line="240" w:lineRule="auto"/>
      </w:pPr>
    </w:p>
    <w:tbl>
      <w:tblPr>
        <w:tblStyle w:val="TableGrid"/>
        <w:tblW w:w="9625" w:type="dxa"/>
        <w:tblLayout w:type="fixed"/>
        <w:tblLook w:val="04A0" w:firstRow="1" w:lastRow="0" w:firstColumn="1" w:lastColumn="0" w:noHBand="0" w:noVBand="1"/>
      </w:tblPr>
      <w:tblGrid>
        <w:gridCol w:w="1885"/>
        <w:gridCol w:w="1710"/>
        <w:gridCol w:w="713"/>
        <w:gridCol w:w="1177"/>
        <w:gridCol w:w="1170"/>
        <w:gridCol w:w="1350"/>
        <w:gridCol w:w="1620"/>
      </w:tblGrid>
      <w:tr w:rsidR="00E5729F" w:rsidRPr="00FB4190" w:rsidTr="00484B15">
        <w:tc>
          <w:tcPr>
            <w:tcW w:w="9625" w:type="dxa"/>
            <w:gridSpan w:val="7"/>
          </w:tcPr>
          <w:p w:rsidR="00E5729F" w:rsidRPr="000E59F7" w:rsidRDefault="00E5729F" w:rsidP="00484B15">
            <w:pPr>
              <w:spacing w:line="240" w:lineRule="auto"/>
              <w:rPr>
                <w:b/>
              </w:rPr>
            </w:pPr>
            <w:r w:rsidRPr="000E59F7">
              <w:br w:type="page"/>
            </w:r>
            <w:bookmarkStart w:id="1" w:name="OLE_LINK1"/>
            <w:bookmarkStart w:id="2" w:name="OLE_LINK2"/>
            <w:r w:rsidRPr="000E59F7">
              <w:rPr>
                <w:b/>
              </w:rPr>
              <w:t xml:space="preserve">Table xxx: Overview of </w:t>
            </w:r>
            <w:r>
              <w:rPr>
                <w:b/>
              </w:rPr>
              <w:t>Great Recession Laws</w:t>
            </w:r>
          </w:p>
        </w:tc>
      </w:tr>
      <w:tr w:rsidR="00E5729F" w:rsidRPr="00FB4190" w:rsidTr="00484B15">
        <w:tc>
          <w:tcPr>
            <w:tcW w:w="1885" w:type="dxa"/>
          </w:tcPr>
          <w:p w:rsidR="00E5729F" w:rsidRPr="000E59F7" w:rsidRDefault="00E5729F" w:rsidP="00484B15">
            <w:pPr>
              <w:spacing w:line="240" w:lineRule="auto"/>
              <w:rPr>
                <w:b/>
              </w:rPr>
            </w:pPr>
            <w:r w:rsidRPr="000E59F7">
              <w:rPr>
                <w:b/>
              </w:rPr>
              <w:t>Law Title</w:t>
            </w:r>
          </w:p>
        </w:tc>
        <w:tc>
          <w:tcPr>
            <w:tcW w:w="1710" w:type="dxa"/>
          </w:tcPr>
          <w:p w:rsidR="00E5729F" w:rsidRPr="000E59F7" w:rsidRDefault="00E5729F" w:rsidP="00484B15">
            <w:pPr>
              <w:spacing w:line="240" w:lineRule="auto"/>
              <w:rPr>
                <w:b/>
              </w:rPr>
            </w:pPr>
            <w:r w:rsidRPr="000E59F7">
              <w:rPr>
                <w:b/>
              </w:rPr>
              <w:t>Summary</w:t>
            </w:r>
          </w:p>
        </w:tc>
        <w:tc>
          <w:tcPr>
            <w:tcW w:w="713" w:type="dxa"/>
          </w:tcPr>
          <w:p w:rsidR="00E5729F" w:rsidRPr="000E59F7" w:rsidRDefault="00E5729F" w:rsidP="00484B15">
            <w:pPr>
              <w:spacing w:line="240" w:lineRule="auto"/>
              <w:rPr>
                <w:b/>
              </w:rPr>
            </w:pPr>
            <w:r w:rsidRPr="000E59F7">
              <w:rPr>
                <w:b/>
              </w:rPr>
              <w:t>Law</w:t>
            </w:r>
          </w:p>
        </w:tc>
        <w:tc>
          <w:tcPr>
            <w:tcW w:w="1177" w:type="dxa"/>
          </w:tcPr>
          <w:p w:rsidR="00E5729F" w:rsidRPr="000E59F7" w:rsidRDefault="00E5729F" w:rsidP="00484B15">
            <w:pPr>
              <w:spacing w:line="240" w:lineRule="auto"/>
              <w:rPr>
                <w:b/>
              </w:rPr>
            </w:pPr>
            <w:r w:rsidRPr="000E59F7">
              <w:rPr>
                <w:b/>
              </w:rPr>
              <w:t>Congress</w:t>
            </w:r>
          </w:p>
        </w:tc>
        <w:tc>
          <w:tcPr>
            <w:tcW w:w="1170" w:type="dxa"/>
          </w:tcPr>
          <w:p w:rsidR="00E5729F" w:rsidRPr="000E59F7" w:rsidRDefault="00E5729F" w:rsidP="00484B15">
            <w:pPr>
              <w:spacing w:line="240" w:lineRule="auto"/>
              <w:rPr>
                <w:b/>
              </w:rPr>
            </w:pPr>
            <w:r>
              <w:rPr>
                <w:b/>
              </w:rPr>
              <w:t>Days</w:t>
            </w:r>
            <w:r w:rsidRPr="000E59F7">
              <w:rPr>
                <w:b/>
              </w:rPr>
              <w:t xml:space="preserve"> in Congress (adjusted</w:t>
            </w:r>
            <w:r>
              <w:rPr>
                <w:b/>
              </w:rPr>
              <w:t xml:space="preserve"> counts in bold</w:t>
            </w:r>
            <w:r w:rsidRPr="000E59F7">
              <w:rPr>
                <w:b/>
              </w:rPr>
              <w:t>)</w:t>
            </w:r>
            <w:r w:rsidRPr="000E59F7">
              <w:rPr>
                <w:vertAlign w:val="superscript"/>
              </w:rPr>
              <w:t>a</w:t>
            </w:r>
          </w:p>
        </w:tc>
        <w:tc>
          <w:tcPr>
            <w:tcW w:w="1350" w:type="dxa"/>
          </w:tcPr>
          <w:p w:rsidR="00E5729F" w:rsidRPr="000E59F7" w:rsidRDefault="00E5729F" w:rsidP="00484B15">
            <w:pPr>
              <w:spacing w:line="240" w:lineRule="auto"/>
              <w:rPr>
                <w:b/>
              </w:rPr>
            </w:pPr>
            <w:r w:rsidRPr="000E59F7">
              <w:rPr>
                <w:b/>
              </w:rPr>
              <w:t>Word count (page count)</w:t>
            </w:r>
          </w:p>
        </w:tc>
        <w:tc>
          <w:tcPr>
            <w:tcW w:w="1620" w:type="dxa"/>
          </w:tcPr>
          <w:p w:rsidR="00E5729F" w:rsidRPr="000E59F7" w:rsidRDefault="00E5729F" w:rsidP="00484B15">
            <w:pPr>
              <w:spacing w:line="240" w:lineRule="auto"/>
            </w:pPr>
            <w:r w:rsidRPr="000E59F7">
              <w:rPr>
                <w:b/>
              </w:rPr>
              <w:t>Costs for the Federal Government</w:t>
            </w:r>
            <w:r w:rsidRPr="000E59F7">
              <w:rPr>
                <w:vertAlign w:val="superscript"/>
              </w:rPr>
              <w:t>b</w:t>
            </w:r>
          </w:p>
        </w:tc>
      </w:tr>
      <w:tr w:rsidR="00E5729F" w:rsidRPr="00FB4190" w:rsidTr="00484B15">
        <w:tc>
          <w:tcPr>
            <w:tcW w:w="1885" w:type="dxa"/>
          </w:tcPr>
          <w:p w:rsidR="00E5729F" w:rsidRPr="000E59F7" w:rsidRDefault="00E5729F" w:rsidP="00484B15">
            <w:pPr>
              <w:spacing w:line="240" w:lineRule="auto"/>
              <w:rPr>
                <w:b/>
              </w:rPr>
            </w:pPr>
            <w:r>
              <w:rPr>
                <w:b/>
              </w:rPr>
              <w:t xml:space="preserve">Economic Stimulus Act </w:t>
            </w:r>
            <w:r w:rsidRPr="000E59F7">
              <w:rPr>
                <w:b/>
              </w:rPr>
              <w:t>(ESA)</w:t>
            </w:r>
          </w:p>
        </w:tc>
        <w:tc>
          <w:tcPr>
            <w:tcW w:w="1710" w:type="dxa"/>
          </w:tcPr>
          <w:p w:rsidR="00E5729F" w:rsidRPr="000E59F7" w:rsidRDefault="00E5729F" w:rsidP="00484B15">
            <w:pPr>
              <w:spacing w:line="240" w:lineRule="auto"/>
            </w:pPr>
            <w:r w:rsidRPr="000E59F7">
              <w:t xml:space="preserve">Tax cuts and rebates </w:t>
            </w:r>
          </w:p>
        </w:tc>
        <w:tc>
          <w:tcPr>
            <w:tcW w:w="713" w:type="dxa"/>
          </w:tcPr>
          <w:p w:rsidR="00E5729F" w:rsidRPr="000E59F7" w:rsidRDefault="00E5729F" w:rsidP="00484B15">
            <w:pPr>
              <w:spacing w:line="240" w:lineRule="auto"/>
            </w:pPr>
            <w:r w:rsidRPr="000E59F7">
              <w:t>H.R. 5140</w:t>
            </w:r>
          </w:p>
        </w:tc>
        <w:tc>
          <w:tcPr>
            <w:tcW w:w="1177" w:type="dxa"/>
          </w:tcPr>
          <w:p w:rsidR="00E5729F" w:rsidRPr="000E59F7" w:rsidRDefault="00E5729F" w:rsidP="00484B15">
            <w:pPr>
              <w:spacing w:line="240" w:lineRule="auto"/>
            </w:pPr>
            <w:r w:rsidRPr="000E59F7">
              <w:t>110</w:t>
            </w:r>
            <w:r w:rsidRPr="000E59F7">
              <w:rPr>
                <w:vertAlign w:val="superscript"/>
              </w:rPr>
              <w:t>th</w:t>
            </w:r>
          </w:p>
          <w:p w:rsidR="00E5729F" w:rsidRPr="000E59F7" w:rsidRDefault="00E5729F" w:rsidP="00484B15">
            <w:pPr>
              <w:spacing w:line="240" w:lineRule="auto"/>
            </w:pPr>
          </w:p>
        </w:tc>
        <w:tc>
          <w:tcPr>
            <w:tcW w:w="1170" w:type="dxa"/>
          </w:tcPr>
          <w:p w:rsidR="00E5729F" w:rsidRPr="0089363A" w:rsidRDefault="00E5729F" w:rsidP="00484B15">
            <w:pPr>
              <w:spacing w:line="240" w:lineRule="auto"/>
            </w:pPr>
            <w:r w:rsidRPr="0089363A">
              <w:t xml:space="preserve">17 </w:t>
            </w:r>
          </w:p>
        </w:tc>
        <w:tc>
          <w:tcPr>
            <w:tcW w:w="1350" w:type="dxa"/>
          </w:tcPr>
          <w:p w:rsidR="00E5729F" w:rsidRPr="000E59F7" w:rsidRDefault="00E5729F" w:rsidP="00484B15">
            <w:pPr>
              <w:spacing w:line="240" w:lineRule="auto"/>
            </w:pPr>
            <w:r w:rsidRPr="000E59F7">
              <w:t>3,859 (9)</w:t>
            </w:r>
          </w:p>
        </w:tc>
        <w:tc>
          <w:tcPr>
            <w:tcW w:w="1620" w:type="dxa"/>
          </w:tcPr>
          <w:p w:rsidR="00E5729F" w:rsidRPr="000E59F7" w:rsidRDefault="00E5729F" w:rsidP="00484B15">
            <w:pPr>
              <w:spacing w:line="240" w:lineRule="auto"/>
            </w:pPr>
          </w:p>
          <w:p w:rsidR="00E5729F" w:rsidRPr="000E59F7" w:rsidRDefault="00E5729F" w:rsidP="00484B15">
            <w:pPr>
              <w:spacing w:line="240" w:lineRule="auto"/>
            </w:pPr>
            <w:r>
              <w:t>$</w:t>
            </w:r>
            <w:r w:rsidRPr="000E59F7">
              <w:t>152 billion</w:t>
            </w:r>
          </w:p>
          <w:p w:rsidR="00E5729F" w:rsidRPr="000E59F7" w:rsidRDefault="00E5729F" w:rsidP="00484B15">
            <w:pPr>
              <w:spacing w:line="240" w:lineRule="auto"/>
              <w:jc w:val="center"/>
            </w:pPr>
          </w:p>
        </w:tc>
      </w:tr>
      <w:tr w:rsidR="00E5729F" w:rsidRPr="00FB4190" w:rsidTr="00484B15">
        <w:tc>
          <w:tcPr>
            <w:tcW w:w="1885" w:type="dxa"/>
          </w:tcPr>
          <w:p w:rsidR="00E5729F" w:rsidRPr="000E59F7" w:rsidRDefault="00E5729F" w:rsidP="00484B15">
            <w:pPr>
              <w:spacing w:line="240" w:lineRule="auto"/>
              <w:rPr>
                <w:b/>
              </w:rPr>
            </w:pPr>
            <w:r w:rsidRPr="000E59F7">
              <w:rPr>
                <w:b/>
              </w:rPr>
              <w:t>Housi</w:t>
            </w:r>
            <w:r>
              <w:rPr>
                <w:b/>
              </w:rPr>
              <w:t xml:space="preserve">ng and Economic Recovery Act </w:t>
            </w:r>
            <w:r w:rsidRPr="000E59F7">
              <w:rPr>
                <w:b/>
              </w:rPr>
              <w:t>(HERA)</w:t>
            </w:r>
          </w:p>
        </w:tc>
        <w:tc>
          <w:tcPr>
            <w:tcW w:w="1710" w:type="dxa"/>
          </w:tcPr>
          <w:p w:rsidR="00E5729F" w:rsidRPr="000E59F7" w:rsidRDefault="00E5729F" w:rsidP="00484B15">
            <w:pPr>
              <w:spacing w:line="240" w:lineRule="auto"/>
            </w:pPr>
            <w:r w:rsidRPr="000E59F7">
              <w:t>Mortgage market reform, increase in housing insurance, unlimited liabilities for Fannie Mae and Freddie Mac</w:t>
            </w:r>
          </w:p>
        </w:tc>
        <w:tc>
          <w:tcPr>
            <w:tcW w:w="713" w:type="dxa"/>
          </w:tcPr>
          <w:p w:rsidR="00E5729F" w:rsidRPr="000E59F7" w:rsidRDefault="00E5729F" w:rsidP="00484B15">
            <w:pPr>
              <w:spacing w:line="240" w:lineRule="auto"/>
            </w:pPr>
            <w:r w:rsidRPr="000E59F7">
              <w:t>H.R 3221</w:t>
            </w:r>
          </w:p>
        </w:tc>
        <w:tc>
          <w:tcPr>
            <w:tcW w:w="1177" w:type="dxa"/>
          </w:tcPr>
          <w:p w:rsidR="00E5729F" w:rsidRPr="000E59F7" w:rsidRDefault="00E5729F" w:rsidP="00484B15">
            <w:pPr>
              <w:spacing w:line="240" w:lineRule="auto"/>
            </w:pPr>
            <w:r w:rsidRPr="000E59F7">
              <w:t>110</w:t>
            </w:r>
            <w:r w:rsidRPr="000E59F7">
              <w:rPr>
                <w:vertAlign w:val="superscript"/>
              </w:rPr>
              <w:t>th</w:t>
            </w:r>
            <w:r w:rsidRPr="000E59F7">
              <w:t xml:space="preserve"> </w:t>
            </w:r>
          </w:p>
        </w:tc>
        <w:tc>
          <w:tcPr>
            <w:tcW w:w="1170" w:type="dxa"/>
          </w:tcPr>
          <w:p w:rsidR="00E5729F" w:rsidRPr="0089363A" w:rsidRDefault="00E5729F" w:rsidP="00484B15">
            <w:pPr>
              <w:spacing w:line="240" w:lineRule="auto"/>
            </w:pPr>
            <w:r w:rsidRPr="0089363A">
              <w:t xml:space="preserve">118 </w:t>
            </w:r>
          </w:p>
        </w:tc>
        <w:tc>
          <w:tcPr>
            <w:tcW w:w="1350" w:type="dxa"/>
          </w:tcPr>
          <w:p w:rsidR="00E5729F" w:rsidRPr="000E59F7" w:rsidRDefault="00E5729F" w:rsidP="00484B15">
            <w:pPr>
              <w:spacing w:line="240" w:lineRule="auto"/>
            </w:pPr>
            <w:r w:rsidRPr="000E59F7">
              <w:t>109,065 (250)</w:t>
            </w:r>
          </w:p>
        </w:tc>
        <w:tc>
          <w:tcPr>
            <w:tcW w:w="1620" w:type="dxa"/>
          </w:tcPr>
          <w:p w:rsidR="00E5729F" w:rsidRPr="000E59F7" w:rsidRDefault="00E5729F" w:rsidP="00484B15">
            <w:pPr>
              <w:spacing w:line="240" w:lineRule="auto"/>
            </w:pPr>
            <w:r>
              <w:t>$</w:t>
            </w:r>
            <w:r w:rsidRPr="000E59F7">
              <w:t>24.9 billion</w:t>
            </w:r>
          </w:p>
        </w:tc>
      </w:tr>
      <w:tr w:rsidR="00E5729F" w:rsidRPr="00FB4190" w:rsidTr="00484B15">
        <w:tc>
          <w:tcPr>
            <w:tcW w:w="1885" w:type="dxa"/>
          </w:tcPr>
          <w:p w:rsidR="00E5729F" w:rsidRPr="000E59F7" w:rsidRDefault="00E5729F" w:rsidP="00484B15">
            <w:pPr>
              <w:spacing w:line="240" w:lineRule="auto"/>
              <w:rPr>
                <w:b/>
              </w:rPr>
            </w:pPr>
            <w:r w:rsidRPr="00C9640F">
              <w:rPr>
                <w:b/>
              </w:rPr>
              <w:t>Unemployment Co</w:t>
            </w:r>
            <w:r>
              <w:rPr>
                <w:b/>
              </w:rPr>
              <w:t>mpensation Extension Act</w:t>
            </w:r>
          </w:p>
        </w:tc>
        <w:tc>
          <w:tcPr>
            <w:tcW w:w="1710" w:type="dxa"/>
          </w:tcPr>
          <w:p w:rsidR="00E5729F" w:rsidRPr="000E59F7" w:rsidRDefault="00E5729F" w:rsidP="00484B15">
            <w:pPr>
              <w:spacing w:line="240" w:lineRule="auto"/>
            </w:pPr>
            <w:r>
              <w:t>Extending unemployment insurance</w:t>
            </w:r>
          </w:p>
        </w:tc>
        <w:tc>
          <w:tcPr>
            <w:tcW w:w="713" w:type="dxa"/>
          </w:tcPr>
          <w:p w:rsidR="00E5729F" w:rsidRPr="000E59F7" w:rsidRDefault="00E5729F" w:rsidP="00484B15">
            <w:pPr>
              <w:spacing w:line="240" w:lineRule="auto"/>
            </w:pPr>
            <w:r>
              <w:t>H.R. 6867</w:t>
            </w:r>
          </w:p>
        </w:tc>
        <w:tc>
          <w:tcPr>
            <w:tcW w:w="1177" w:type="dxa"/>
          </w:tcPr>
          <w:p w:rsidR="00E5729F" w:rsidRPr="000E59F7" w:rsidRDefault="00E5729F" w:rsidP="00484B15">
            <w:pPr>
              <w:spacing w:line="240" w:lineRule="auto"/>
            </w:pPr>
            <w:r>
              <w:t>110</w:t>
            </w:r>
            <w:r w:rsidRPr="00B77959">
              <w:rPr>
                <w:vertAlign w:val="superscript"/>
              </w:rPr>
              <w:t>th</w:t>
            </w:r>
          </w:p>
        </w:tc>
        <w:tc>
          <w:tcPr>
            <w:tcW w:w="1170" w:type="dxa"/>
          </w:tcPr>
          <w:p w:rsidR="00E5729F" w:rsidRPr="00B77959" w:rsidRDefault="00E5729F" w:rsidP="00484B15">
            <w:pPr>
              <w:spacing w:line="240" w:lineRule="auto"/>
            </w:pPr>
            <w:r w:rsidRPr="00B77959">
              <w:t>73</w:t>
            </w:r>
          </w:p>
        </w:tc>
        <w:tc>
          <w:tcPr>
            <w:tcW w:w="1350" w:type="dxa"/>
          </w:tcPr>
          <w:p w:rsidR="00E5729F" w:rsidRPr="000E59F7" w:rsidRDefault="00E5729F" w:rsidP="00484B15">
            <w:pPr>
              <w:spacing w:line="240" w:lineRule="auto"/>
            </w:pPr>
            <w:r>
              <w:t>722 (2)</w:t>
            </w:r>
          </w:p>
        </w:tc>
        <w:tc>
          <w:tcPr>
            <w:tcW w:w="1620" w:type="dxa"/>
          </w:tcPr>
          <w:p w:rsidR="00E5729F" w:rsidRPr="000E59F7" w:rsidRDefault="00E5729F" w:rsidP="00484B15">
            <w:pPr>
              <w:spacing w:line="240" w:lineRule="auto"/>
            </w:pPr>
            <w:r>
              <w:t>$5.7 billion in 2008</w:t>
            </w:r>
          </w:p>
        </w:tc>
      </w:tr>
      <w:tr w:rsidR="00E5729F" w:rsidRPr="00FB4190" w:rsidTr="00484B15">
        <w:tc>
          <w:tcPr>
            <w:tcW w:w="1885" w:type="dxa"/>
          </w:tcPr>
          <w:p w:rsidR="00E5729F" w:rsidRPr="000E59F7" w:rsidRDefault="00E5729F" w:rsidP="00484B15">
            <w:pPr>
              <w:spacing w:line="240" w:lineRule="auto"/>
              <w:rPr>
                <w:b/>
              </w:rPr>
            </w:pPr>
            <w:r w:rsidRPr="000E59F7">
              <w:rPr>
                <w:b/>
              </w:rPr>
              <w:t>Emergency Eco</w:t>
            </w:r>
            <w:r>
              <w:rPr>
                <w:b/>
              </w:rPr>
              <w:t xml:space="preserve">nomic Stabilization Act </w:t>
            </w:r>
            <w:r w:rsidRPr="000E59F7">
              <w:rPr>
                <w:b/>
              </w:rPr>
              <w:t>(EESA)</w:t>
            </w:r>
          </w:p>
        </w:tc>
        <w:tc>
          <w:tcPr>
            <w:tcW w:w="1710" w:type="dxa"/>
          </w:tcPr>
          <w:p w:rsidR="00E5729F" w:rsidRPr="000E59F7" w:rsidRDefault="00E5729F" w:rsidP="00484B15">
            <w:pPr>
              <w:spacing w:line="240" w:lineRule="auto"/>
            </w:pPr>
            <w:r w:rsidRPr="000E59F7">
              <w:t xml:space="preserve">Troubled Asset Relief Program </w:t>
            </w:r>
          </w:p>
        </w:tc>
        <w:tc>
          <w:tcPr>
            <w:tcW w:w="713" w:type="dxa"/>
          </w:tcPr>
          <w:p w:rsidR="00E5729F" w:rsidRPr="000E59F7" w:rsidRDefault="00E5729F" w:rsidP="00484B15">
            <w:pPr>
              <w:spacing w:line="240" w:lineRule="auto"/>
            </w:pPr>
            <w:r w:rsidRPr="000E59F7">
              <w:t>H.R. 1424</w:t>
            </w:r>
          </w:p>
        </w:tc>
        <w:tc>
          <w:tcPr>
            <w:tcW w:w="1177" w:type="dxa"/>
          </w:tcPr>
          <w:p w:rsidR="00E5729F" w:rsidRPr="000E59F7" w:rsidRDefault="00E5729F" w:rsidP="00484B15">
            <w:pPr>
              <w:spacing w:line="240" w:lineRule="auto"/>
            </w:pPr>
            <w:r w:rsidRPr="000E59F7">
              <w:t>110</w:t>
            </w:r>
            <w:r w:rsidRPr="000E59F7">
              <w:rPr>
                <w:vertAlign w:val="superscript"/>
              </w:rPr>
              <w:t>th</w:t>
            </w:r>
            <w:r w:rsidRPr="000E59F7">
              <w:t xml:space="preserve"> </w:t>
            </w:r>
          </w:p>
        </w:tc>
        <w:tc>
          <w:tcPr>
            <w:tcW w:w="1170" w:type="dxa"/>
          </w:tcPr>
          <w:p w:rsidR="00E5729F" w:rsidRPr="00B77959" w:rsidRDefault="00E5729F" w:rsidP="00484B15">
            <w:pPr>
              <w:spacing w:line="240" w:lineRule="auto"/>
            </w:pPr>
            <w:r w:rsidRPr="00B77959">
              <w:t>14</w:t>
            </w:r>
          </w:p>
        </w:tc>
        <w:tc>
          <w:tcPr>
            <w:tcW w:w="1350" w:type="dxa"/>
          </w:tcPr>
          <w:p w:rsidR="00E5729F" w:rsidRPr="000E59F7" w:rsidRDefault="00E5729F" w:rsidP="00484B15">
            <w:pPr>
              <w:spacing w:line="240" w:lineRule="auto"/>
            </w:pPr>
            <w:r w:rsidRPr="000E59F7">
              <w:t>70,455 (162)</w:t>
            </w:r>
          </w:p>
        </w:tc>
        <w:tc>
          <w:tcPr>
            <w:tcW w:w="1620" w:type="dxa"/>
          </w:tcPr>
          <w:p w:rsidR="00E5729F" w:rsidRPr="000E59F7" w:rsidRDefault="00E5729F" w:rsidP="00484B15">
            <w:pPr>
              <w:spacing w:line="240" w:lineRule="auto"/>
            </w:pPr>
            <w:r>
              <w:t>$</w:t>
            </w:r>
            <w:r w:rsidRPr="000E59F7">
              <w:t xml:space="preserve">27 billion </w:t>
            </w:r>
          </w:p>
        </w:tc>
      </w:tr>
      <w:tr w:rsidR="00E5729F" w:rsidRPr="00FB4190" w:rsidTr="00484B15">
        <w:tc>
          <w:tcPr>
            <w:tcW w:w="1885" w:type="dxa"/>
          </w:tcPr>
          <w:p w:rsidR="00E5729F" w:rsidRPr="000E59F7" w:rsidRDefault="00E5729F" w:rsidP="00484B15">
            <w:pPr>
              <w:spacing w:line="240" w:lineRule="auto"/>
              <w:rPr>
                <w:b/>
              </w:rPr>
            </w:pPr>
            <w:r w:rsidRPr="000E59F7">
              <w:rPr>
                <w:b/>
              </w:rPr>
              <w:t>American Reinv</w:t>
            </w:r>
            <w:r>
              <w:rPr>
                <w:b/>
              </w:rPr>
              <w:t xml:space="preserve">estment and Recovery Act </w:t>
            </w:r>
            <w:r w:rsidRPr="000E59F7">
              <w:rPr>
                <w:b/>
              </w:rPr>
              <w:t>(ARRA)</w:t>
            </w:r>
          </w:p>
        </w:tc>
        <w:tc>
          <w:tcPr>
            <w:tcW w:w="1710" w:type="dxa"/>
          </w:tcPr>
          <w:p w:rsidR="00E5729F" w:rsidRPr="000E59F7" w:rsidRDefault="00E5729F" w:rsidP="00484B15">
            <w:pPr>
              <w:spacing w:line="240" w:lineRule="auto"/>
            </w:pPr>
            <w:r w:rsidRPr="000E59F7">
              <w:t>840 billion fiscal stimulus bill</w:t>
            </w:r>
          </w:p>
          <w:p w:rsidR="00E5729F" w:rsidRPr="000E59F7" w:rsidRDefault="00E5729F" w:rsidP="00484B15">
            <w:pPr>
              <w:spacing w:line="240" w:lineRule="auto"/>
            </w:pPr>
          </w:p>
        </w:tc>
        <w:tc>
          <w:tcPr>
            <w:tcW w:w="713" w:type="dxa"/>
          </w:tcPr>
          <w:p w:rsidR="00E5729F" w:rsidRPr="000E59F7" w:rsidRDefault="00E5729F" w:rsidP="00484B15">
            <w:pPr>
              <w:spacing w:line="240" w:lineRule="auto"/>
            </w:pPr>
            <w:r w:rsidRPr="000E59F7">
              <w:t>H.R. 1</w:t>
            </w:r>
          </w:p>
        </w:tc>
        <w:tc>
          <w:tcPr>
            <w:tcW w:w="1177" w:type="dxa"/>
          </w:tcPr>
          <w:p w:rsidR="00E5729F" w:rsidRPr="000E59F7" w:rsidRDefault="00E5729F" w:rsidP="00484B15">
            <w:pPr>
              <w:spacing w:line="240" w:lineRule="auto"/>
            </w:pPr>
            <w:r w:rsidRPr="000E59F7">
              <w:t>111</w:t>
            </w:r>
            <w:r w:rsidRPr="000E59F7">
              <w:rPr>
                <w:vertAlign w:val="superscript"/>
              </w:rPr>
              <w:t>th</w:t>
            </w:r>
            <w:r w:rsidRPr="000E59F7">
              <w:t xml:space="preserve"> </w:t>
            </w:r>
          </w:p>
        </w:tc>
        <w:tc>
          <w:tcPr>
            <w:tcW w:w="1170" w:type="dxa"/>
          </w:tcPr>
          <w:p w:rsidR="00E5729F" w:rsidRPr="0089363A" w:rsidRDefault="00E5729F" w:rsidP="00484B15">
            <w:pPr>
              <w:spacing w:line="240" w:lineRule="auto"/>
            </w:pPr>
            <w:r w:rsidRPr="0089363A">
              <w:t xml:space="preserve">23 </w:t>
            </w:r>
          </w:p>
        </w:tc>
        <w:tc>
          <w:tcPr>
            <w:tcW w:w="1350" w:type="dxa"/>
          </w:tcPr>
          <w:p w:rsidR="00E5729F" w:rsidRPr="000E59F7" w:rsidRDefault="00E5729F" w:rsidP="00484B15">
            <w:pPr>
              <w:spacing w:line="240" w:lineRule="auto"/>
            </w:pPr>
            <w:r w:rsidRPr="000E59F7">
              <w:t>173,032 (396)</w:t>
            </w:r>
          </w:p>
        </w:tc>
        <w:tc>
          <w:tcPr>
            <w:tcW w:w="1620" w:type="dxa"/>
          </w:tcPr>
          <w:p w:rsidR="00E5729F" w:rsidRPr="000E59F7" w:rsidRDefault="00E5729F" w:rsidP="00484B15">
            <w:pPr>
              <w:spacing w:line="240" w:lineRule="auto"/>
            </w:pPr>
            <w:r>
              <w:t>$</w:t>
            </w:r>
            <w:r w:rsidRPr="000E59F7">
              <w:t>830 billion</w:t>
            </w:r>
          </w:p>
        </w:tc>
      </w:tr>
      <w:tr w:rsidR="00E5729F" w:rsidRPr="00FB4190" w:rsidTr="00484B15">
        <w:tc>
          <w:tcPr>
            <w:tcW w:w="1885" w:type="dxa"/>
          </w:tcPr>
          <w:p w:rsidR="00E5729F" w:rsidRPr="000E59F7" w:rsidRDefault="00E5729F" w:rsidP="00484B15">
            <w:pPr>
              <w:spacing w:line="240" w:lineRule="auto"/>
              <w:rPr>
                <w:b/>
              </w:rPr>
            </w:pPr>
            <w:r w:rsidRPr="000E59F7">
              <w:rPr>
                <w:b/>
              </w:rPr>
              <w:t>Help Fami</w:t>
            </w:r>
            <w:r>
              <w:rPr>
                <w:b/>
              </w:rPr>
              <w:t>lies Save Their Home Act</w:t>
            </w:r>
            <w:r w:rsidRPr="000E59F7">
              <w:rPr>
                <w:b/>
              </w:rPr>
              <w:t xml:space="preserve"> (HFHA)</w:t>
            </w:r>
          </w:p>
        </w:tc>
        <w:tc>
          <w:tcPr>
            <w:tcW w:w="1710" w:type="dxa"/>
          </w:tcPr>
          <w:p w:rsidR="00E5729F" w:rsidRPr="000E59F7" w:rsidRDefault="00E5729F" w:rsidP="00484B15">
            <w:pPr>
              <w:spacing w:line="240" w:lineRule="auto"/>
            </w:pPr>
            <w:r w:rsidRPr="000E59F7">
              <w:t xml:space="preserve">Increased Federal funding for the mortgage market </w:t>
            </w:r>
          </w:p>
        </w:tc>
        <w:tc>
          <w:tcPr>
            <w:tcW w:w="713" w:type="dxa"/>
          </w:tcPr>
          <w:p w:rsidR="00E5729F" w:rsidRPr="000E59F7" w:rsidRDefault="00E5729F" w:rsidP="00484B15">
            <w:pPr>
              <w:spacing w:line="240" w:lineRule="auto"/>
            </w:pPr>
            <w:r w:rsidRPr="000E59F7">
              <w:t xml:space="preserve">S. 896 </w:t>
            </w:r>
          </w:p>
        </w:tc>
        <w:tc>
          <w:tcPr>
            <w:tcW w:w="1177" w:type="dxa"/>
          </w:tcPr>
          <w:p w:rsidR="00E5729F" w:rsidRPr="000E59F7" w:rsidRDefault="00E5729F" w:rsidP="00484B15">
            <w:pPr>
              <w:spacing w:line="240" w:lineRule="auto"/>
            </w:pPr>
            <w:r w:rsidRPr="000E59F7">
              <w:t>111</w:t>
            </w:r>
            <w:r w:rsidRPr="000E59F7">
              <w:rPr>
                <w:vertAlign w:val="superscript"/>
              </w:rPr>
              <w:t>th</w:t>
            </w:r>
          </w:p>
          <w:p w:rsidR="00E5729F" w:rsidRPr="000E59F7" w:rsidRDefault="00E5729F" w:rsidP="00484B15">
            <w:pPr>
              <w:spacing w:line="240" w:lineRule="auto"/>
            </w:pPr>
          </w:p>
        </w:tc>
        <w:tc>
          <w:tcPr>
            <w:tcW w:w="1170" w:type="dxa"/>
          </w:tcPr>
          <w:p w:rsidR="00E5729F" w:rsidRPr="0089363A" w:rsidRDefault="00E5729F" w:rsidP="00484B15">
            <w:pPr>
              <w:spacing w:line="240" w:lineRule="auto"/>
            </w:pPr>
            <w:r w:rsidRPr="0089363A">
              <w:t xml:space="preserve">87 </w:t>
            </w:r>
          </w:p>
        </w:tc>
        <w:tc>
          <w:tcPr>
            <w:tcW w:w="1350" w:type="dxa"/>
          </w:tcPr>
          <w:p w:rsidR="00E5729F" w:rsidRPr="000E59F7" w:rsidRDefault="00E5729F" w:rsidP="00484B15">
            <w:pPr>
              <w:spacing w:line="240" w:lineRule="auto"/>
            </w:pPr>
            <w:r w:rsidRPr="000E59F7">
              <w:t>29,777 (69)</w:t>
            </w:r>
          </w:p>
        </w:tc>
        <w:tc>
          <w:tcPr>
            <w:tcW w:w="1620" w:type="dxa"/>
          </w:tcPr>
          <w:p w:rsidR="00E5729F" w:rsidRPr="000E59F7" w:rsidRDefault="00E5729F" w:rsidP="00484B15">
            <w:pPr>
              <w:spacing w:line="240" w:lineRule="auto"/>
            </w:pPr>
            <w:r>
              <w:t>$</w:t>
            </w:r>
            <w:r w:rsidRPr="000E59F7">
              <w:t>8.2 billion</w:t>
            </w:r>
          </w:p>
        </w:tc>
      </w:tr>
      <w:tr w:rsidR="00E5729F" w:rsidRPr="00FB4190" w:rsidTr="00484B15">
        <w:tc>
          <w:tcPr>
            <w:tcW w:w="1885" w:type="dxa"/>
          </w:tcPr>
          <w:p w:rsidR="00E5729F" w:rsidRPr="000E59F7" w:rsidRDefault="00E5729F" w:rsidP="00484B15">
            <w:pPr>
              <w:spacing w:line="240" w:lineRule="auto"/>
              <w:rPr>
                <w:b/>
              </w:rPr>
            </w:pPr>
            <w:r w:rsidRPr="000E59F7">
              <w:rPr>
                <w:b/>
              </w:rPr>
              <w:t xml:space="preserve">Dodd-Frank Wall Street Reform and </w:t>
            </w:r>
            <w:r w:rsidRPr="000E59F7">
              <w:rPr>
                <w:b/>
              </w:rPr>
              <w:lastRenderedPageBreak/>
              <w:t>Consumer Protection Act (Dodd-Frank)</w:t>
            </w:r>
          </w:p>
        </w:tc>
        <w:tc>
          <w:tcPr>
            <w:tcW w:w="1710" w:type="dxa"/>
          </w:tcPr>
          <w:p w:rsidR="00E5729F" w:rsidRPr="000E59F7" w:rsidRDefault="00E5729F" w:rsidP="00484B15">
            <w:pPr>
              <w:spacing w:line="240" w:lineRule="auto"/>
            </w:pPr>
            <w:r w:rsidRPr="000E59F7">
              <w:lastRenderedPageBreak/>
              <w:t xml:space="preserve">Financial market reform. Addressing </w:t>
            </w:r>
            <w:r w:rsidRPr="000E59F7">
              <w:lastRenderedPageBreak/>
              <w:t xml:space="preserve">over 20 regulatory agencies </w:t>
            </w:r>
          </w:p>
        </w:tc>
        <w:tc>
          <w:tcPr>
            <w:tcW w:w="713" w:type="dxa"/>
          </w:tcPr>
          <w:p w:rsidR="00E5729F" w:rsidRPr="000E59F7" w:rsidRDefault="00E5729F" w:rsidP="00484B15">
            <w:pPr>
              <w:spacing w:line="240" w:lineRule="auto"/>
            </w:pPr>
            <w:r w:rsidRPr="000E59F7">
              <w:lastRenderedPageBreak/>
              <w:t>H.R 4173</w:t>
            </w:r>
          </w:p>
        </w:tc>
        <w:tc>
          <w:tcPr>
            <w:tcW w:w="1177" w:type="dxa"/>
          </w:tcPr>
          <w:p w:rsidR="00E5729F" w:rsidRPr="000E59F7" w:rsidRDefault="00E5729F" w:rsidP="00484B15">
            <w:pPr>
              <w:spacing w:line="240" w:lineRule="auto"/>
            </w:pPr>
            <w:r w:rsidRPr="000E59F7">
              <w:t>111</w:t>
            </w:r>
            <w:r w:rsidRPr="000E59F7">
              <w:rPr>
                <w:vertAlign w:val="superscript"/>
              </w:rPr>
              <w:t>th</w:t>
            </w:r>
            <w:r w:rsidRPr="000E59F7">
              <w:t xml:space="preserve"> </w:t>
            </w:r>
          </w:p>
        </w:tc>
        <w:tc>
          <w:tcPr>
            <w:tcW w:w="1170" w:type="dxa"/>
          </w:tcPr>
          <w:p w:rsidR="00E5729F" w:rsidRPr="0089363A" w:rsidRDefault="00E5729F" w:rsidP="00484B15">
            <w:pPr>
              <w:spacing w:line="240" w:lineRule="auto"/>
            </w:pPr>
            <w:r w:rsidRPr="0089363A">
              <w:t xml:space="preserve">232 </w:t>
            </w:r>
          </w:p>
        </w:tc>
        <w:tc>
          <w:tcPr>
            <w:tcW w:w="1350" w:type="dxa"/>
          </w:tcPr>
          <w:p w:rsidR="00E5729F" w:rsidRPr="000E59F7" w:rsidRDefault="00E5729F" w:rsidP="00484B15">
            <w:pPr>
              <w:spacing w:line="240" w:lineRule="auto"/>
            </w:pPr>
            <w:r w:rsidRPr="000E59F7">
              <w:t>357,386 (818)</w:t>
            </w:r>
          </w:p>
        </w:tc>
        <w:tc>
          <w:tcPr>
            <w:tcW w:w="1620" w:type="dxa"/>
          </w:tcPr>
          <w:p w:rsidR="00E5729F" w:rsidRPr="000E59F7" w:rsidRDefault="00E5729F" w:rsidP="00484B15">
            <w:pPr>
              <w:spacing w:line="240" w:lineRule="auto"/>
            </w:pPr>
            <w:r w:rsidRPr="000E59F7">
              <w:t xml:space="preserve">Surplus of </w:t>
            </w:r>
            <w:r>
              <w:t>$</w:t>
            </w:r>
            <w:r w:rsidRPr="000E59F7">
              <w:t>3.2 billion</w:t>
            </w:r>
          </w:p>
        </w:tc>
      </w:tr>
      <w:tr w:rsidR="00E5729F" w:rsidRPr="00FB4190" w:rsidTr="00484B15">
        <w:tc>
          <w:tcPr>
            <w:tcW w:w="5485" w:type="dxa"/>
            <w:gridSpan w:val="4"/>
          </w:tcPr>
          <w:p w:rsidR="00E5729F" w:rsidRPr="005A0553" w:rsidRDefault="00E5729F" w:rsidP="00484B15">
            <w:pPr>
              <w:spacing w:line="240" w:lineRule="auto"/>
              <w:rPr>
                <w:b/>
              </w:rPr>
            </w:pPr>
            <w:r w:rsidRPr="00B72C43">
              <w:rPr>
                <w:b/>
              </w:rPr>
              <w:lastRenderedPageBreak/>
              <w:t>Average</w:t>
            </w:r>
            <w:r>
              <w:rPr>
                <w:b/>
                <w:lang w:val="sv-SE"/>
              </w:rPr>
              <w:t>:</w:t>
            </w:r>
          </w:p>
        </w:tc>
        <w:tc>
          <w:tcPr>
            <w:tcW w:w="1170" w:type="dxa"/>
          </w:tcPr>
          <w:p w:rsidR="00E5729F" w:rsidRPr="000E59F7" w:rsidRDefault="00E5729F" w:rsidP="00484B15">
            <w:pPr>
              <w:spacing w:line="240" w:lineRule="auto"/>
              <w:rPr>
                <w:rFonts w:eastAsia="Times New Roman" w:cs="Times New Roman"/>
                <w:szCs w:val="24"/>
              </w:rPr>
            </w:pPr>
            <w:r w:rsidRPr="000E59F7">
              <w:rPr>
                <w:rFonts w:eastAsia="Times New Roman" w:cs="Times New Roman"/>
                <w:b/>
                <w:bCs/>
                <w:color w:val="010101"/>
                <w:shd w:val="clear" w:color="auto" w:fill="FFFFFF"/>
              </w:rPr>
              <w:t>8</w:t>
            </w:r>
            <w:r>
              <w:rPr>
                <w:rFonts w:eastAsia="Times New Roman" w:cs="Times New Roman"/>
                <w:b/>
                <w:bCs/>
                <w:color w:val="010101"/>
                <w:shd w:val="clear" w:color="auto" w:fill="FFFFFF"/>
              </w:rPr>
              <w:t>0.57</w:t>
            </w:r>
            <w:r w:rsidRPr="000E59F7">
              <w:rPr>
                <w:rFonts w:eastAsia="Times New Roman" w:cs="Times New Roman"/>
                <w:b/>
                <w:bCs/>
                <w:color w:val="010101"/>
                <w:shd w:val="clear" w:color="auto" w:fill="FFFFFF"/>
              </w:rPr>
              <w:t xml:space="preserve"> days </w:t>
            </w:r>
          </w:p>
        </w:tc>
        <w:tc>
          <w:tcPr>
            <w:tcW w:w="1350" w:type="dxa"/>
          </w:tcPr>
          <w:p w:rsidR="00E5729F" w:rsidRDefault="00E5729F" w:rsidP="00484B15">
            <w:pPr>
              <w:spacing w:line="240" w:lineRule="auto"/>
              <w:rPr>
                <w:b/>
              </w:rPr>
            </w:pPr>
            <w:r w:rsidRPr="00B406E1">
              <w:rPr>
                <w:b/>
              </w:rPr>
              <w:t>106</w:t>
            </w:r>
            <w:r>
              <w:rPr>
                <w:b/>
              </w:rPr>
              <w:t>,</w:t>
            </w:r>
            <w:r w:rsidRPr="00B406E1">
              <w:rPr>
                <w:b/>
              </w:rPr>
              <w:t xml:space="preserve">328 </w:t>
            </w:r>
            <w:r>
              <w:rPr>
                <w:b/>
              </w:rPr>
              <w:t>(244)</w:t>
            </w:r>
          </w:p>
          <w:p w:rsidR="00E5729F" w:rsidRPr="000E59F7" w:rsidRDefault="00E5729F" w:rsidP="00484B15">
            <w:pPr>
              <w:spacing w:line="240" w:lineRule="auto"/>
              <w:rPr>
                <w:b/>
              </w:rPr>
            </w:pPr>
            <w:r w:rsidRPr="000E59F7">
              <w:rPr>
                <w:b/>
              </w:rPr>
              <w:t xml:space="preserve"> </w:t>
            </w:r>
          </w:p>
        </w:tc>
        <w:tc>
          <w:tcPr>
            <w:tcW w:w="1620" w:type="dxa"/>
          </w:tcPr>
          <w:p w:rsidR="00E5729F" w:rsidRPr="000E59F7" w:rsidRDefault="00E5729F" w:rsidP="00484B15">
            <w:pPr>
              <w:spacing w:line="240" w:lineRule="auto"/>
            </w:pPr>
            <w:r w:rsidRPr="000E59F7">
              <w:rPr>
                <w:b/>
              </w:rPr>
              <w:t xml:space="preserve">Net Costs: </w:t>
            </w:r>
            <w:r w:rsidRPr="00913462">
              <w:rPr>
                <w:b/>
              </w:rPr>
              <w:t>$1,044.6 trillion</w:t>
            </w:r>
          </w:p>
        </w:tc>
      </w:tr>
      <w:tr w:rsidR="00E5729F" w:rsidRPr="00FB4190" w:rsidTr="00484B15">
        <w:tc>
          <w:tcPr>
            <w:tcW w:w="9625" w:type="dxa"/>
            <w:gridSpan w:val="7"/>
          </w:tcPr>
          <w:p w:rsidR="00E5729F" w:rsidRPr="000E59F7" w:rsidRDefault="00E5729F" w:rsidP="00E5729F">
            <w:pPr>
              <w:pStyle w:val="ListParagraph"/>
              <w:numPr>
                <w:ilvl w:val="0"/>
                <w:numId w:val="1"/>
              </w:numPr>
              <w:spacing w:line="240" w:lineRule="auto"/>
              <w:rPr>
                <w:sz w:val="20"/>
              </w:rPr>
            </w:pPr>
            <w:r w:rsidRPr="000E59F7">
              <w:rPr>
                <w:sz w:val="20"/>
              </w:rPr>
              <w:t>These calculations start with the (sometimes adjusted) date of introduction until the bill was signed into law. For further details, see the respecti</w:t>
            </w:r>
            <w:r>
              <w:rPr>
                <w:sz w:val="20"/>
              </w:rPr>
              <w:t>ve law section in this chapter.</w:t>
            </w:r>
          </w:p>
        </w:tc>
      </w:tr>
      <w:tr w:rsidR="00E5729F" w:rsidRPr="00FB4190" w:rsidTr="00484B15">
        <w:tc>
          <w:tcPr>
            <w:tcW w:w="9625" w:type="dxa"/>
            <w:gridSpan w:val="7"/>
          </w:tcPr>
          <w:p w:rsidR="00E5729F" w:rsidRPr="000E59F7" w:rsidRDefault="00E5729F" w:rsidP="00E5729F">
            <w:pPr>
              <w:pStyle w:val="ListParagraph"/>
              <w:numPr>
                <w:ilvl w:val="0"/>
                <w:numId w:val="1"/>
              </w:numPr>
              <w:spacing w:line="240" w:lineRule="auto"/>
              <w:rPr>
                <w:sz w:val="20"/>
              </w:rPr>
            </w:pPr>
            <w:r w:rsidRPr="000E59F7">
              <w:rPr>
                <w:sz w:val="20"/>
              </w:rPr>
              <w:t xml:space="preserve">These costs are all estimates and not exact. Some of the provisions of these laws are still being implemented or will only take effect in the future. The estimates depend on models used by the CBO to take into account some of these considerations. The CBO frequently revises their estimates. In this chapter, </w:t>
            </w:r>
            <w:r>
              <w:rPr>
                <w:sz w:val="20"/>
              </w:rPr>
              <w:t xml:space="preserve">I use </w:t>
            </w:r>
            <w:r w:rsidRPr="000E59F7">
              <w:rPr>
                <w:sz w:val="20"/>
              </w:rPr>
              <w:t xml:space="preserve">only </w:t>
            </w:r>
            <w:r>
              <w:rPr>
                <w:sz w:val="20"/>
              </w:rPr>
              <w:t>the latest estimates by the CBO</w:t>
            </w:r>
            <w:r w:rsidRPr="000E59F7">
              <w:rPr>
                <w:sz w:val="20"/>
              </w:rPr>
              <w:t>.</w:t>
            </w:r>
          </w:p>
        </w:tc>
      </w:tr>
      <w:bookmarkEnd w:id="1"/>
      <w:bookmarkEnd w:id="2"/>
    </w:tbl>
    <w:p w:rsidR="00492EEC" w:rsidRDefault="00492EEC" w:rsidP="00E060A8">
      <w:pPr>
        <w:spacing w:line="240" w:lineRule="auto"/>
        <w:rPr>
          <w:noProof/>
        </w:rPr>
      </w:pPr>
    </w:p>
    <w:p w:rsidR="00E5729F" w:rsidRDefault="00E5729F" w:rsidP="00E060A8">
      <w:pPr>
        <w:spacing w:line="240" w:lineRule="auto"/>
        <w:rPr>
          <w:b/>
        </w:rPr>
      </w:pPr>
      <w:r>
        <w:rPr>
          <w:noProof/>
        </w:rPr>
        <w:drawing>
          <wp:inline distT="0" distB="0" distL="0" distR="0" wp14:anchorId="3A59402C" wp14:editId="0CFFBABE">
            <wp:extent cx="5276851" cy="2981326"/>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E5729F" w:rsidRDefault="00E5729F" w:rsidP="00E060A8">
      <w:pPr>
        <w:spacing w:line="240" w:lineRule="auto"/>
        <w:rPr>
          <w:b/>
        </w:rPr>
      </w:pPr>
    </w:p>
    <w:p w:rsidR="00E5729F" w:rsidRDefault="00EB5864" w:rsidP="00E060A8">
      <w:pPr>
        <w:spacing w:line="240" w:lineRule="auto"/>
        <w:rPr>
          <w:b/>
        </w:rPr>
      </w:pPr>
      <w:r>
        <w:rPr>
          <w:noProof/>
        </w:rPr>
        <w:lastRenderedPageBreak/>
        <w:drawing>
          <wp:inline distT="0" distB="0" distL="0" distR="0" wp14:anchorId="32CC46B3" wp14:editId="61C0FE64">
            <wp:extent cx="5943600" cy="3234055"/>
            <wp:effectExtent l="0" t="0" r="0" b="4445"/>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sectPr w:rsidR="00E5729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2026" w:rsidRDefault="00A52026" w:rsidP="00FA3A96">
      <w:pPr>
        <w:spacing w:after="0" w:line="240" w:lineRule="auto"/>
      </w:pPr>
      <w:r>
        <w:separator/>
      </w:r>
    </w:p>
  </w:endnote>
  <w:endnote w:type="continuationSeparator" w:id="0">
    <w:p w:rsidR="00A52026" w:rsidRDefault="00A52026" w:rsidP="00FA3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2026" w:rsidRDefault="00A52026" w:rsidP="00FA3A96">
      <w:pPr>
        <w:spacing w:after="0" w:line="240" w:lineRule="auto"/>
      </w:pPr>
      <w:r>
        <w:separator/>
      </w:r>
    </w:p>
  </w:footnote>
  <w:footnote w:type="continuationSeparator" w:id="0">
    <w:p w:rsidR="00A52026" w:rsidRDefault="00A52026" w:rsidP="00FA3A9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B529D8"/>
    <w:multiLevelType w:val="hybridMultilevel"/>
    <w:tmpl w:val="2BB2B01C"/>
    <w:lvl w:ilvl="0" w:tplc="ED766CE0">
      <w:start w:val="2003"/>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04138E"/>
    <w:multiLevelType w:val="hybridMultilevel"/>
    <w:tmpl w:val="B73600A2"/>
    <w:lvl w:ilvl="0" w:tplc="3AA89D28">
      <w:start w:val="2003"/>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065E62"/>
    <w:multiLevelType w:val="hybridMultilevel"/>
    <w:tmpl w:val="1570C45C"/>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2F7"/>
    <w:rsid w:val="000048C8"/>
    <w:rsid w:val="00007CDF"/>
    <w:rsid w:val="00010671"/>
    <w:rsid w:val="0001752A"/>
    <w:rsid w:val="000232A6"/>
    <w:rsid w:val="0002771B"/>
    <w:rsid w:val="000322A3"/>
    <w:rsid w:val="000324EA"/>
    <w:rsid w:val="00042099"/>
    <w:rsid w:val="000476D5"/>
    <w:rsid w:val="00047C03"/>
    <w:rsid w:val="0005032D"/>
    <w:rsid w:val="00055CD2"/>
    <w:rsid w:val="00055D32"/>
    <w:rsid w:val="00056989"/>
    <w:rsid w:val="00057302"/>
    <w:rsid w:val="0006078D"/>
    <w:rsid w:val="0007112E"/>
    <w:rsid w:val="000746B8"/>
    <w:rsid w:val="00076961"/>
    <w:rsid w:val="00076E52"/>
    <w:rsid w:val="000824EB"/>
    <w:rsid w:val="00083C8D"/>
    <w:rsid w:val="000850C3"/>
    <w:rsid w:val="00087A37"/>
    <w:rsid w:val="00087DEF"/>
    <w:rsid w:val="00090853"/>
    <w:rsid w:val="00096D5C"/>
    <w:rsid w:val="00097FA9"/>
    <w:rsid w:val="000A1D75"/>
    <w:rsid w:val="000A3387"/>
    <w:rsid w:val="000A4468"/>
    <w:rsid w:val="000B1A41"/>
    <w:rsid w:val="000B3C54"/>
    <w:rsid w:val="000B486C"/>
    <w:rsid w:val="000B4C19"/>
    <w:rsid w:val="000B617C"/>
    <w:rsid w:val="000B6342"/>
    <w:rsid w:val="000C0D41"/>
    <w:rsid w:val="000C44BA"/>
    <w:rsid w:val="000C60D6"/>
    <w:rsid w:val="000D1A5B"/>
    <w:rsid w:val="000D1B2D"/>
    <w:rsid w:val="000D49C1"/>
    <w:rsid w:val="000D5474"/>
    <w:rsid w:val="000E121C"/>
    <w:rsid w:val="000F08D9"/>
    <w:rsid w:val="000F2FED"/>
    <w:rsid w:val="000F63D3"/>
    <w:rsid w:val="00102960"/>
    <w:rsid w:val="001134D5"/>
    <w:rsid w:val="001135D1"/>
    <w:rsid w:val="00121345"/>
    <w:rsid w:val="00124B70"/>
    <w:rsid w:val="00126060"/>
    <w:rsid w:val="001279A5"/>
    <w:rsid w:val="00147870"/>
    <w:rsid w:val="001570ED"/>
    <w:rsid w:val="001656D2"/>
    <w:rsid w:val="00170D7A"/>
    <w:rsid w:val="001766A8"/>
    <w:rsid w:val="00186E7A"/>
    <w:rsid w:val="00187E88"/>
    <w:rsid w:val="00190626"/>
    <w:rsid w:val="001958BB"/>
    <w:rsid w:val="001A2B09"/>
    <w:rsid w:val="001A4615"/>
    <w:rsid w:val="001B7E6F"/>
    <w:rsid w:val="001C6655"/>
    <w:rsid w:val="001C7697"/>
    <w:rsid w:val="001D0606"/>
    <w:rsid w:val="001D3677"/>
    <w:rsid w:val="001E02E9"/>
    <w:rsid w:val="001E17E2"/>
    <w:rsid w:val="001E3CE1"/>
    <w:rsid w:val="001F4350"/>
    <w:rsid w:val="00200945"/>
    <w:rsid w:val="0020683A"/>
    <w:rsid w:val="00207612"/>
    <w:rsid w:val="002153EB"/>
    <w:rsid w:val="00216FAC"/>
    <w:rsid w:val="00221791"/>
    <w:rsid w:val="00224728"/>
    <w:rsid w:val="00225459"/>
    <w:rsid w:val="00226519"/>
    <w:rsid w:val="00226D68"/>
    <w:rsid w:val="00227513"/>
    <w:rsid w:val="002328C7"/>
    <w:rsid w:val="00241BC4"/>
    <w:rsid w:val="00242834"/>
    <w:rsid w:val="002429F4"/>
    <w:rsid w:val="0024379C"/>
    <w:rsid w:val="00252D6B"/>
    <w:rsid w:val="002557A0"/>
    <w:rsid w:val="00256F13"/>
    <w:rsid w:val="00263972"/>
    <w:rsid w:val="002677AD"/>
    <w:rsid w:val="00270A18"/>
    <w:rsid w:val="00271C0A"/>
    <w:rsid w:val="00272A77"/>
    <w:rsid w:val="00285696"/>
    <w:rsid w:val="00286A52"/>
    <w:rsid w:val="00287165"/>
    <w:rsid w:val="00290DC0"/>
    <w:rsid w:val="00291660"/>
    <w:rsid w:val="002930E5"/>
    <w:rsid w:val="00297429"/>
    <w:rsid w:val="002A2C10"/>
    <w:rsid w:val="002A400E"/>
    <w:rsid w:val="002A7429"/>
    <w:rsid w:val="002B6D5B"/>
    <w:rsid w:val="002C0984"/>
    <w:rsid w:val="002D1A67"/>
    <w:rsid w:val="002D4B48"/>
    <w:rsid w:val="002D70AF"/>
    <w:rsid w:val="002E20CB"/>
    <w:rsid w:val="002E40BC"/>
    <w:rsid w:val="002E6C13"/>
    <w:rsid w:val="002F32A0"/>
    <w:rsid w:val="003022FB"/>
    <w:rsid w:val="00303FF1"/>
    <w:rsid w:val="00310146"/>
    <w:rsid w:val="0031523C"/>
    <w:rsid w:val="0031582A"/>
    <w:rsid w:val="00315F4F"/>
    <w:rsid w:val="00321544"/>
    <w:rsid w:val="00322E91"/>
    <w:rsid w:val="0032371F"/>
    <w:rsid w:val="00327430"/>
    <w:rsid w:val="00332E7F"/>
    <w:rsid w:val="00333152"/>
    <w:rsid w:val="003400D6"/>
    <w:rsid w:val="00340BC8"/>
    <w:rsid w:val="003422C5"/>
    <w:rsid w:val="00346CDE"/>
    <w:rsid w:val="003477AD"/>
    <w:rsid w:val="00347EB9"/>
    <w:rsid w:val="0035068A"/>
    <w:rsid w:val="0035136D"/>
    <w:rsid w:val="003530E8"/>
    <w:rsid w:val="00360104"/>
    <w:rsid w:val="003643D6"/>
    <w:rsid w:val="003670F1"/>
    <w:rsid w:val="0036777F"/>
    <w:rsid w:val="00373913"/>
    <w:rsid w:val="00377D8B"/>
    <w:rsid w:val="00380170"/>
    <w:rsid w:val="0038184B"/>
    <w:rsid w:val="00381C08"/>
    <w:rsid w:val="003835E4"/>
    <w:rsid w:val="00385F52"/>
    <w:rsid w:val="0038613F"/>
    <w:rsid w:val="00387A6C"/>
    <w:rsid w:val="00392B39"/>
    <w:rsid w:val="00392DB6"/>
    <w:rsid w:val="00393814"/>
    <w:rsid w:val="003977DF"/>
    <w:rsid w:val="003A3022"/>
    <w:rsid w:val="003B0950"/>
    <w:rsid w:val="003B23B0"/>
    <w:rsid w:val="003B2CAB"/>
    <w:rsid w:val="003B303A"/>
    <w:rsid w:val="003B5083"/>
    <w:rsid w:val="003B55D6"/>
    <w:rsid w:val="003B6A0A"/>
    <w:rsid w:val="003C13E1"/>
    <w:rsid w:val="003C7334"/>
    <w:rsid w:val="003D1C62"/>
    <w:rsid w:val="003D4ECD"/>
    <w:rsid w:val="003D4F83"/>
    <w:rsid w:val="003E079F"/>
    <w:rsid w:val="003E11D7"/>
    <w:rsid w:val="003E543D"/>
    <w:rsid w:val="003E5967"/>
    <w:rsid w:val="003E622E"/>
    <w:rsid w:val="003F25C8"/>
    <w:rsid w:val="003F3C2E"/>
    <w:rsid w:val="003F6A5D"/>
    <w:rsid w:val="0040182D"/>
    <w:rsid w:val="00403FA2"/>
    <w:rsid w:val="00406906"/>
    <w:rsid w:val="00406B99"/>
    <w:rsid w:val="004214A6"/>
    <w:rsid w:val="004245C6"/>
    <w:rsid w:val="00424F76"/>
    <w:rsid w:val="004269C6"/>
    <w:rsid w:val="004347B4"/>
    <w:rsid w:val="00440656"/>
    <w:rsid w:val="00440691"/>
    <w:rsid w:val="0044232E"/>
    <w:rsid w:val="00446BB1"/>
    <w:rsid w:val="00447BED"/>
    <w:rsid w:val="00450218"/>
    <w:rsid w:val="00450953"/>
    <w:rsid w:val="00450DBE"/>
    <w:rsid w:val="00450FEA"/>
    <w:rsid w:val="00462D9A"/>
    <w:rsid w:val="0046393A"/>
    <w:rsid w:val="0047269E"/>
    <w:rsid w:val="00473D66"/>
    <w:rsid w:val="004755C0"/>
    <w:rsid w:val="0047735C"/>
    <w:rsid w:val="004776D0"/>
    <w:rsid w:val="004870CE"/>
    <w:rsid w:val="0049263F"/>
    <w:rsid w:val="00492EEC"/>
    <w:rsid w:val="00493158"/>
    <w:rsid w:val="004A0B66"/>
    <w:rsid w:val="004A34FD"/>
    <w:rsid w:val="004A464E"/>
    <w:rsid w:val="004A54E5"/>
    <w:rsid w:val="004B4C69"/>
    <w:rsid w:val="004B4F18"/>
    <w:rsid w:val="004B59C3"/>
    <w:rsid w:val="004C5C3E"/>
    <w:rsid w:val="004D3FC5"/>
    <w:rsid w:val="004D4684"/>
    <w:rsid w:val="004D4CB1"/>
    <w:rsid w:val="004E16B5"/>
    <w:rsid w:val="004E2EDF"/>
    <w:rsid w:val="004E3071"/>
    <w:rsid w:val="004E3D0B"/>
    <w:rsid w:val="004E717D"/>
    <w:rsid w:val="004F0D31"/>
    <w:rsid w:val="004F7792"/>
    <w:rsid w:val="004F7D80"/>
    <w:rsid w:val="0050050E"/>
    <w:rsid w:val="00503531"/>
    <w:rsid w:val="0050497E"/>
    <w:rsid w:val="005144AB"/>
    <w:rsid w:val="00515C5D"/>
    <w:rsid w:val="00520D01"/>
    <w:rsid w:val="005217EB"/>
    <w:rsid w:val="00522A0F"/>
    <w:rsid w:val="0052572B"/>
    <w:rsid w:val="00527D40"/>
    <w:rsid w:val="00527E0C"/>
    <w:rsid w:val="005349B3"/>
    <w:rsid w:val="00534DFA"/>
    <w:rsid w:val="00540FE6"/>
    <w:rsid w:val="0054157E"/>
    <w:rsid w:val="00542537"/>
    <w:rsid w:val="00542726"/>
    <w:rsid w:val="005432B9"/>
    <w:rsid w:val="005523AA"/>
    <w:rsid w:val="00555FF2"/>
    <w:rsid w:val="0055613A"/>
    <w:rsid w:val="00561BBF"/>
    <w:rsid w:val="0056478B"/>
    <w:rsid w:val="00565387"/>
    <w:rsid w:val="0057477A"/>
    <w:rsid w:val="005759E9"/>
    <w:rsid w:val="00580B73"/>
    <w:rsid w:val="00582459"/>
    <w:rsid w:val="00594431"/>
    <w:rsid w:val="00594CB2"/>
    <w:rsid w:val="00597061"/>
    <w:rsid w:val="0059742E"/>
    <w:rsid w:val="005A1982"/>
    <w:rsid w:val="005A457D"/>
    <w:rsid w:val="005A74A2"/>
    <w:rsid w:val="005B1B71"/>
    <w:rsid w:val="005B2456"/>
    <w:rsid w:val="005B7D6F"/>
    <w:rsid w:val="005C16EF"/>
    <w:rsid w:val="005C1808"/>
    <w:rsid w:val="005C363A"/>
    <w:rsid w:val="005C556B"/>
    <w:rsid w:val="005D1CCD"/>
    <w:rsid w:val="005D516F"/>
    <w:rsid w:val="005E540A"/>
    <w:rsid w:val="005F0ECE"/>
    <w:rsid w:val="005F7DDB"/>
    <w:rsid w:val="005F7F65"/>
    <w:rsid w:val="00600134"/>
    <w:rsid w:val="00605888"/>
    <w:rsid w:val="00615432"/>
    <w:rsid w:val="00620B1D"/>
    <w:rsid w:val="006218B7"/>
    <w:rsid w:val="006232DE"/>
    <w:rsid w:val="006250BC"/>
    <w:rsid w:val="00626AB8"/>
    <w:rsid w:val="0062762F"/>
    <w:rsid w:val="00627A7E"/>
    <w:rsid w:val="00627A8F"/>
    <w:rsid w:val="00630297"/>
    <w:rsid w:val="00630A8B"/>
    <w:rsid w:val="0063318E"/>
    <w:rsid w:val="00635348"/>
    <w:rsid w:val="006356B2"/>
    <w:rsid w:val="00637E6A"/>
    <w:rsid w:val="00644DBD"/>
    <w:rsid w:val="00645377"/>
    <w:rsid w:val="00646BF5"/>
    <w:rsid w:val="00647BCB"/>
    <w:rsid w:val="00653707"/>
    <w:rsid w:val="00654E95"/>
    <w:rsid w:val="006610B8"/>
    <w:rsid w:val="006663E3"/>
    <w:rsid w:val="0068031C"/>
    <w:rsid w:val="006810C4"/>
    <w:rsid w:val="00691082"/>
    <w:rsid w:val="00696E24"/>
    <w:rsid w:val="00696EA6"/>
    <w:rsid w:val="006A6A93"/>
    <w:rsid w:val="006A758D"/>
    <w:rsid w:val="006B1CEB"/>
    <w:rsid w:val="006B203D"/>
    <w:rsid w:val="006B7559"/>
    <w:rsid w:val="006C087B"/>
    <w:rsid w:val="006C1ED0"/>
    <w:rsid w:val="006C2199"/>
    <w:rsid w:val="006C4B28"/>
    <w:rsid w:val="006D2FF9"/>
    <w:rsid w:val="006E33EA"/>
    <w:rsid w:val="006E578D"/>
    <w:rsid w:val="006E636E"/>
    <w:rsid w:val="006E7118"/>
    <w:rsid w:val="006F1A08"/>
    <w:rsid w:val="006F54A3"/>
    <w:rsid w:val="006F6A5E"/>
    <w:rsid w:val="006F6F3C"/>
    <w:rsid w:val="00703640"/>
    <w:rsid w:val="0070679B"/>
    <w:rsid w:val="00720A08"/>
    <w:rsid w:val="0072150C"/>
    <w:rsid w:val="00721D8E"/>
    <w:rsid w:val="0072233B"/>
    <w:rsid w:val="00723020"/>
    <w:rsid w:val="0073291B"/>
    <w:rsid w:val="00732CF7"/>
    <w:rsid w:val="00745A56"/>
    <w:rsid w:val="007507B0"/>
    <w:rsid w:val="007541D1"/>
    <w:rsid w:val="00755A4B"/>
    <w:rsid w:val="0076117B"/>
    <w:rsid w:val="007617DF"/>
    <w:rsid w:val="00762BF3"/>
    <w:rsid w:val="00765A9D"/>
    <w:rsid w:val="00767B76"/>
    <w:rsid w:val="007714B3"/>
    <w:rsid w:val="00775B60"/>
    <w:rsid w:val="00780743"/>
    <w:rsid w:val="007808A3"/>
    <w:rsid w:val="00782995"/>
    <w:rsid w:val="00787337"/>
    <w:rsid w:val="007903D6"/>
    <w:rsid w:val="00790B06"/>
    <w:rsid w:val="00790CD5"/>
    <w:rsid w:val="0079199F"/>
    <w:rsid w:val="00792ABD"/>
    <w:rsid w:val="00795F83"/>
    <w:rsid w:val="007B0A04"/>
    <w:rsid w:val="007B260C"/>
    <w:rsid w:val="007B6C87"/>
    <w:rsid w:val="007C0C0B"/>
    <w:rsid w:val="007C2516"/>
    <w:rsid w:val="007C5ED6"/>
    <w:rsid w:val="007E19A3"/>
    <w:rsid w:val="007E3272"/>
    <w:rsid w:val="008032B5"/>
    <w:rsid w:val="00806468"/>
    <w:rsid w:val="00806A03"/>
    <w:rsid w:val="0080769F"/>
    <w:rsid w:val="00816378"/>
    <w:rsid w:val="00817411"/>
    <w:rsid w:val="008242D8"/>
    <w:rsid w:val="00827269"/>
    <w:rsid w:val="00833ABA"/>
    <w:rsid w:val="008445FB"/>
    <w:rsid w:val="00853485"/>
    <w:rsid w:val="008616FD"/>
    <w:rsid w:val="008652F1"/>
    <w:rsid w:val="0087374A"/>
    <w:rsid w:val="00873CE3"/>
    <w:rsid w:val="00880776"/>
    <w:rsid w:val="008873B0"/>
    <w:rsid w:val="00892847"/>
    <w:rsid w:val="00894C24"/>
    <w:rsid w:val="00896EE4"/>
    <w:rsid w:val="008A054C"/>
    <w:rsid w:val="008A40BB"/>
    <w:rsid w:val="008A4A7A"/>
    <w:rsid w:val="008A5FCE"/>
    <w:rsid w:val="008B3145"/>
    <w:rsid w:val="008C014F"/>
    <w:rsid w:val="008C0FE6"/>
    <w:rsid w:val="008C16E7"/>
    <w:rsid w:val="008C69D8"/>
    <w:rsid w:val="008D0A05"/>
    <w:rsid w:val="008D4894"/>
    <w:rsid w:val="008D685B"/>
    <w:rsid w:val="008E0D15"/>
    <w:rsid w:val="008E2FDB"/>
    <w:rsid w:val="008E303B"/>
    <w:rsid w:val="008E4480"/>
    <w:rsid w:val="008E4673"/>
    <w:rsid w:val="008F118A"/>
    <w:rsid w:val="008F1AB6"/>
    <w:rsid w:val="008F3CC6"/>
    <w:rsid w:val="00901045"/>
    <w:rsid w:val="00902B99"/>
    <w:rsid w:val="00903261"/>
    <w:rsid w:val="00910370"/>
    <w:rsid w:val="0091131F"/>
    <w:rsid w:val="009115D4"/>
    <w:rsid w:val="00922ED2"/>
    <w:rsid w:val="00924FC7"/>
    <w:rsid w:val="009322AD"/>
    <w:rsid w:val="00933302"/>
    <w:rsid w:val="00935EA9"/>
    <w:rsid w:val="009406B0"/>
    <w:rsid w:val="00941300"/>
    <w:rsid w:val="00941A33"/>
    <w:rsid w:val="00943EF6"/>
    <w:rsid w:val="00945402"/>
    <w:rsid w:val="00946FDA"/>
    <w:rsid w:val="00950296"/>
    <w:rsid w:val="00950663"/>
    <w:rsid w:val="00956633"/>
    <w:rsid w:val="00957E87"/>
    <w:rsid w:val="009617AA"/>
    <w:rsid w:val="00964C12"/>
    <w:rsid w:val="00964C8E"/>
    <w:rsid w:val="00966E78"/>
    <w:rsid w:val="00970032"/>
    <w:rsid w:val="0097028D"/>
    <w:rsid w:val="00972D2E"/>
    <w:rsid w:val="009820F0"/>
    <w:rsid w:val="00986E4C"/>
    <w:rsid w:val="009872F9"/>
    <w:rsid w:val="00987618"/>
    <w:rsid w:val="009907B1"/>
    <w:rsid w:val="009944A4"/>
    <w:rsid w:val="0099621E"/>
    <w:rsid w:val="009B2252"/>
    <w:rsid w:val="009B2BA0"/>
    <w:rsid w:val="009B3EC2"/>
    <w:rsid w:val="009C0777"/>
    <w:rsid w:val="009C0C7C"/>
    <w:rsid w:val="009C115C"/>
    <w:rsid w:val="009C2825"/>
    <w:rsid w:val="009C461C"/>
    <w:rsid w:val="009C603A"/>
    <w:rsid w:val="009E1FD0"/>
    <w:rsid w:val="009F0DC9"/>
    <w:rsid w:val="009F7F0A"/>
    <w:rsid w:val="00A101EA"/>
    <w:rsid w:val="00A105BE"/>
    <w:rsid w:val="00A133F1"/>
    <w:rsid w:val="00A1655E"/>
    <w:rsid w:val="00A17081"/>
    <w:rsid w:val="00A2259D"/>
    <w:rsid w:val="00A226AA"/>
    <w:rsid w:val="00A2518D"/>
    <w:rsid w:val="00A26553"/>
    <w:rsid w:val="00A320D6"/>
    <w:rsid w:val="00A32286"/>
    <w:rsid w:val="00A35845"/>
    <w:rsid w:val="00A35C2C"/>
    <w:rsid w:val="00A3722B"/>
    <w:rsid w:val="00A3777D"/>
    <w:rsid w:val="00A418F1"/>
    <w:rsid w:val="00A43A3A"/>
    <w:rsid w:val="00A44045"/>
    <w:rsid w:val="00A45361"/>
    <w:rsid w:val="00A4547A"/>
    <w:rsid w:val="00A45AA0"/>
    <w:rsid w:val="00A5065B"/>
    <w:rsid w:val="00A52026"/>
    <w:rsid w:val="00A54A82"/>
    <w:rsid w:val="00A55869"/>
    <w:rsid w:val="00A57758"/>
    <w:rsid w:val="00A6215D"/>
    <w:rsid w:val="00A651C7"/>
    <w:rsid w:val="00A67B6C"/>
    <w:rsid w:val="00A70347"/>
    <w:rsid w:val="00A747A6"/>
    <w:rsid w:val="00A75FA0"/>
    <w:rsid w:val="00A82345"/>
    <w:rsid w:val="00A825C3"/>
    <w:rsid w:val="00A879F2"/>
    <w:rsid w:val="00A91A05"/>
    <w:rsid w:val="00A960AE"/>
    <w:rsid w:val="00AA1850"/>
    <w:rsid w:val="00AA7546"/>
    <w:rsid w:val="00AB07BA"/>
    <w:rsid w:val="00AC2E66"/>
    <w:rsid w:val="00AC3C05"/>
    <w:rsid w:val="00AC3DE3"/>
    <w:rsid w:val="00AC4381"/>
    <w:rsid w:val="00AC7BC3"/>
    <w:rsid w:val="00AD226C"/>
    <w:rsid w:val="00AD6527"/>
    <w:rsid w:val="00AD68A6"/>
    <w:rsid w:val="00AE1C64"/>
    <w:rsid w:val="00AE2478"/>
    <w:rsid w:val="00AF2FE1"/>
    <w:rsid w:val="00AF3EC3"/>
    <w:rsid w:val="00AF4598"/>
    <w:rsid w:val="00B00BE6"/>
    <w:rsid w:val="00B013C9"/>
    <w:rsid w:val="00B01654"/>
    <w:rsid w:val="00B05187"/>
    <w:rsid w:val="00B062D4"/>
    <w:rsid w:val="00B12297"/>
    <w:rsid w:val="00B123B9"/>
    <w:rsid w:val="00B12CBE"/>
    <w:rsid w:val="00B14840"/>
    <w:rsid w:val="00B20F40"/>
    <w:rsid w:val="00B2114F"/>
    <w:rsid w:val="00B243C7"/>
    <w:rsid w:val="00B26681"/>
    <w:rsid w:val="00B271A2"/>
    <w:rsid w:val="00B32998"/>
    <w:rsid w:val="00B3343F"/>
    <w:rsid w:val="00B33F6D"/>
    <w:rsid w:val="00B3512A"/>
    <w:rsid w:val="00B37618"/>
    <w:rsid w:val="00B37938"/>
    <w:rsid w:val="00B4430E"/>
    <w:rsid w:val="00B461A4"/>
    <w:rsid w:val="00B602D5"/>
    <w:rsid w:val="00B6290C"/>
    <w:rsid w:val="00B640CE"/>
    <w:rsid w:val="00B71077"/>
    <w:rsid w:val="00B71BD6"/>
    <w:rsid w:val="00B724C4"/>
    <w:rsid w:val="00B74577"/>
    <w:rsid w:val="00B76074"/>
    <w:rsid w:val="00B76150"/>
    <w:rsid w:val="00B77314"/>
    <w:rsid w:val="00B81892"/>
    <w:rsid w:val="00B827BF"/>
    <w:rsid w:val="00B83E6D"/>
    <w:rsid w:val="00B854D1"/>
    <w:rsid w:val="00B867A5"/>
    <w:rsid w:val="00BA1116"/>
    <w:rsid w:val="00BA1FC3"/>
    <w:rsid w:val="00BA5449"/>
    <w:rsid w:val="00BA5FEA"/>
    <w:rsid w:val="00BA6804"/>
    <w:rsid w:val="00BC23BA"/>
    <w:rsid w:val="00BC26DA"/>
    <w:rsid w:val="00BC6FAF"/>
    <w:rsid w:val="00BD6663"/>
    <w:rsid w:val="00BE05AF"/>
    <w:rsid w:val="00BE2447"/>
    <w:rsid w:val="00BE3251"/>
    <w:rsid w:val="00BE3CF7"/>
    <w:rsid w:val="00BF1B15"/>
    <w:rsid w:val="00BF2D9B"/>
    <w:rsid w:val="00BF2F7B"/>
    <w:rsid w:val="00BF4ACA"/>
    <w:rsid w:val="00C022CA"/>
    <w:rsid w:val="00C046FD"/>
    <w:rsid w:val="00C047C2"/>
    <w:rsid w:val="00C057D9"/>
    <w:rsid w:val="00C07A8F"/>
    <w:rsid w:val="00C14EB4"/>
    <w:rsid w:val="00C179F9"/>
    <w:rsid w:val="00C233DB"/>
    <w:rsid w:val="00C24760"/>
    <w:rsid w:val="00C25A3D"/>
    <w:rsid w:val="00C33C59"/>
    <w:rsid w:val="00C37094"/>
    <w:rsid w:val="00C52E0F"/>
    <w:rsid w:val="00C54725"/>
    <w:rsid w:val="00C5566D"/>
    <w:rsid w:val="00C62961"/>
    <w:rsid w:val="00C62AB4"/>
    <w:rsid w:val="00C63DDD"/>
    <w:rsid w:val="00C70F02"/>
    <w:rsid w:val="00C734B9"/>
    <w:rsid w:val="00C74BD8"/>
    <w:rsid w:val="00C81F39"/>
    <w:rsid w:val="00C92CE0"/>
    <w:rsid w:val="00CA045C"/>
    <w:rsid w:val="00CA1D2A"/>
    <w:rsid w:val="00CA3BC8"/>
    <w:rsid w:val="00CA3C6D"/>
    <w:rsid w:val="00CA5A88"/>
    <w:rsid w:val="00CB3A44"/>
    <w:rsid w:val="00CB3AD6"/>
    <w:rsid w:val="00CB51C7"/>
    <w:rsid w:val="00CC34E4"/>
    <w:rsid w:val="00CC4B64"/>
    <w:rsid w:val="00CD0EC6"/>
    <w:rsid w:val="00CD1DDD"/>
    <w:rsid w:val="00CD4E40"/>
    <w:rsid w:val="00CD5DE1"/>
    <w:rsid w:val="00CD72C8"/>
    <w:rsid w:val="00CD7B41"/>
    <w:rsid w:val="00CF01F1"/>
    <w:rsid w:val="00CF46D4"/>
    <w:rsid w:val="00CF6D7E"/>
    <w:rsid w:val="00D0173F"/>
    <w:rsid w:val="00D017F8"/>
    <w:rsid w:val="00D049F6"/>
    <w:rsid w:val="00D07024"/>
    <w:rsid w:val="00D07F9F"/>
    <w:rsid w:val="00D1052C"/>
    <w:rsid w:val="00D107C1"/>
    <w:rsid w:val="00D16D2D"/>
    <w:rsid w:val="00D20194"/>
    <w:rsid w:val="00D267BD"/>
    <w:rsid w:val="00D26D83"/>
    <w:rsid w:val="00D32FE3"/>
    <w:rsid w:val="00D43596"/>
    <w:rsid w:val="00D46F10"/>
    <w:rsid w:val="00D50208"/>
    <w:rsid w:val="00D50DE0"/>
    <w:rsid w:val="00D51611"/>
    <w:rsid w:val="00D525DE"/>
    <w:rsid w:val="00D538A6"/>
    <w:rsid w:val="00D540AA"/>
    <w:rsid w:val="00D55008"/>
    <w:rsid w:val="00D629CB"/>
    <w:rsid w:val="00D72E93"/>
    <w:rsid w:val="00D7613F"/>
    <w:rsid w:val="00D912D6"/>
    <w:rsid w:val="00D92A6C"/>
    <w:rsid w:val="00DA024E"/>
    <w:rsid w:val="00DA371C"/>
    <w:rsid w:val="00DA4054"/>
    <w:rsid w:val="00DA5DAF"/>
    <w:rsid w:val="00DA7AE6"/>
    <w:rsid w:val="00DB0FC2"/>
    <w:rsid w:val="00DB1512"/>
    <w:rsid w:val="00DB30BC"/>
    <w:rsid w:val="00DB412A"/>
    <w:rsid w:val="00DB45F8"/>
    <w:rsid w:val="00DB5CB7"/>
    <w:rsid w:val="00DB63A2"/>
    <w:rsid w:val="00DC1534"/>
    <w:rsid w:val="00DC2756"/>
    <w:rsid w:val="00DC455F"/>
    <w:rsid w:val="00DC571F"/>
    <w:rsid w:val="00DC5BBC"/>
    <w:rsid w:val="00DC6D8B"/>
    <w:rsid w:val="00DD34BB"/>
    <w:rsid w:val="00DD5B47"/>
    <w:rsid w:val="00DE0CD8"/>
    <w:rsid w:val="00DE126F"/>
    <w:rsid w:val="00DE1C09"/>
    <w:rsid w:val="00DE4208"/>
    <w:rsid w:val="00DE6FBC"/>
    <w:rsid w:val="00DE786B"/>
    <w:rsid w:val="00DF0A52"/>
    <w:rsid w:val="00DF6756"/>
    <w:rsid w:val="00E009FB"/>
    <w:rsid w:val="00E060A8"/>
    <w:rsid w:val="00E06A96"/>
    <w:rsid w:val="00E06F7E"/>
    <w:rsid w:val="00E12F9F"/>
    <w:rsid w:val="00E13AA9"/>
    <w:rsid w:val="00E14F6D"/>
    <w:rsid w:val="00E17BAD"/>
    <w:rsid w:val="00E20B02"/>
    <w:rsid w:val="00E21E58"/>
    <w:rsid w:val="00E23274"/>
    <w:rsid w:val="00E30E9D"/>
    <w:rsid w:val="00E33914"/>
    <w:rsid w:val="00E33F0D"/>
    <w:rsid w:val="00E3772D"/>
    <w:rsid w:val="00E413EF"/>
    <w:rsid w:val="00E440CD"/>
    <w:rsid w:val="00E45535"/>
    <w:rsid w:val="00E502C9"/>
    <w:rsid w:val="00E51CD1"/>
    <w:rsid w:val="00E53353"/>
    <w:rsid w:val="00E53D73"/>
    <w:rsid w:val="00E5729F"/>
    <w:rsid w:val="00E57E65"/>
    <w:rsid w:val="00E633F9"/>
    <w:rsid w:val="00E6792C"/>
    <w:rsid w:val="00E82A17"/>
    <w:rsid w:val="00E83279"/>
    <w:rsid w:val="00E86CB4"/>
    <w:rsid w:val="00E91EE3"/>
    <w:rsid w:val="00E940FE"/>
    <w:rsid w:val="00E94C40"/>
    <w:rsid w:val="00E966DE"/>
    <w:rsid w:val="00E97D2B"/>
    <w:rsid w:val="00EA1801"/>
    <w:rsid w:val="00EA25FC"/>
    <w:rsid w:val="00EA366F"/>
    <w:rsid w:val="00EA6A12"/>
    <w:rsid w:val="00EA6A65"/>
    <w:rsid w:val="00EA7413"/>
    <w:rsid w:val="00EB219D"/>
    <w:rsid w:val="00EB3FBC"/>
    <w:rsid w:val="00EB5864"/>
    <w:rsid w:val="00EB79BD"/>
    <w:rsid w:val="00EC3F58"/>
    <w:rsid w:val="00EC6300"/>
    <w:rsid w:val="00EE2150"/>
    <w:rsid w:val="00EE289F"/>
    <w:rsid w:val="00EE2BA8"/>
    <w:rsid w:val="00EE2CDD"/>
    <w:rsid w:val="00EE5C70"/>
    <w:rsid w:val="00EE63CD"/>
    <w:rsid w:val="00EE70E6"/>
    <w:rsid w:val="00EE7922"/>
    <w:rsid w:val="00EF5197"/>
    <w:rsid w:val="00EF692C"/>
    <w:rsid w:val="00EF77DD"/>
    <w:rsid w:val="00F0007F"/>
    <w:rsid w:val="00F016D8"/>
    <w:rsid w:val="00F133F5"/>
    <w:rsid w:val="00F141EC"/>
    <w:rsid w:val="00F23479"/>
    <w:rsid w:val="00F34F41"/>
    <w:rsid w:val="00F373D6"/>
    <w:rsid w:val="00F4006F"/>
    <w:rsid w:val="00F441A0"/>
    <w:rsid w:val="00F45676"/>
    <w:rsid w:val="00F50C56"/>
    <w:rsid w:val="00F52437"/>
    <w:rsid w:val="00F55803"/>
    <w:rsid w:val="00F57198"/>
    <w:rsid w:val="00F618F9"/>
    <w:rsid w:val="00F63FBD"/>
    <w:rsid w:val="00F65962"/>
    <w:rsid w:val="00F71679"/>
    <w:rsid w:val="00F71BE7"/>
    <w:rsid w:val="00F748C4"/>
    <w:rsid w:val="00F7574F"/>
    <w:rsid w:val="00F76F66"/>
    <w:rsid w:val="00F802F7"/>
    <w:rsid w:val="00F85A92"/>
    <w:rsid w:val="00F973ED"/>
    <w:rsid w:val="00FA043D"/>
    <w:rsid w:val="00FA3A96"/>
    <w:rsid w:val="00FA3AA1"/>
    <w:rsid w:val="00FA4E3F"/>
    <w:rsid w:val="00FA5C9E"/>
    <w:rsid w:val="00FA7674"/>
    <w:rsid w:val="00FA7D42"/>
    <w:rsid w:val="00FB0B20"/>
    <w:rsid w:val="00FB0CF7"/>
    <w:rsid w:val="00FB4799"/>
    <w:rsid w:val="00FB6209"/>
    <w:rsid w:val="00FC4E64"/>
    <w:rsid w:val="00FC611E"/>
    <w:rsid w:val="00FC6C01"/>
    <w:rsid w:val="00FC77E4"/>
    <w:rsid w:val="00FC7F61"/>
    <w:rsid w:val="00FD08C7"/>
    <w:rsid w:val="00FD403E"/>
    <w:rsid w:val="00FD4619"/>
    <w:rsid w:val="00FD5B40"/>
    <w:rsid w:val="00FD69E1"/>
    <w:rsid w:val="00FE121E"/>
    <w:rsid w:val="00FE1592"/>
    <w:rsid w:val="00FE2EDF"/>
    <w:rsid w:val="00FE36B4"/>
    <w:rsid w:val="00FE52DC"/>
    <w:rsid w:val="00FE6EE2"/>
    <w:rsid w:val="00FE7DE9"/>
    <w:rsid w:val="00FF4B38"/>
    <w:rsid w:val="00FF67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02D257-07B7-431E-BBB3-E06AE79A9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512A"/>
    <w:pPr>
      <w:spacing w:line="480" w:lineRule="auto"/>
    </w:pPr>
    <w:rPr>
      <w:rFonts w:ascii="Garamond" w:hAnsi="Garamon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51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90B06"/>
    <w:rPr>
      <w:color w:val="0563C1" w:themeColor="hyperlink"/>
      <w:u w:val="single"/>
    </w:rPr>
  </w:style>
  <w:style w:type="paragraph" w:styleId="TOC1">
    <w:name w:val="toc 1"/>
    <w:basedOn w:val="Normal"/>
    <w:next w:val="Normal"/>
    <w:autoRedefine/>
    <w:uiPriority w:val="39"/>
    <w:unhideWhenUsed/>
    <w:rsid w:val="00790B06"/>
    <w:pPr>
      <w:spacing w:after="100"/>
    </w:pPr>
  </w:style>
  <w:style w:type="paragraph" w:styleId="TOC2">
    <w:name w:val="toc 2"/>
    <w:basedOn w:val="Normal"/>
    <w:next w:val="Normal"/>
    <w:autoRedefine/>
    <w:uiPriority w:val="39"/>
    <w:unhideWhenUsed/>
    <w:rsid w:val="00790B06"/>
    <w:pPr>
      <w:spacing w:after="100"/>
      <w:ind w:left="240"/>
    </w:pPr>
  </w:style>
  <w:style w:type="paragraph" w:styleId="TOC3">
    <w:name w:val="toc 3"/>
    <w:basedOn w:val="Normal"/>
    <w:next w:val="Normal"/>
    <w:autoRedefine/>
    <w:uiPriority w:val="39"/>
    <w:unhideWhenUsed/>
    <w:rsid w:val="00790B06"/>
    <w:pPr>
      <w:spacing w:after="100"/>
      <w:ind w:left="480"/>
    </w:pPr>
  </w:style>
  <w:style w:type="paragraph" w:styleId="ListParagraph">
    <w:name w:val="List Paragraph"/>
    <w:basedOn w:val="Normal"/>
    <w:uiPriority w:val="34"/>
    <w:qFormat/>
    <w:rsid w:val="00615432"/>
    <w:pPr>
      <w:ind w:left="720"/>
      <w:contextualSpacing/>
    </w:pPr>
  </w:style>
  <w:style w:type="paragraph" w:styleId="Header">
    <w:name w:val="header"/>
    <w:basedOn w:val="Normal"/>
    <w:link w:val="HeaderChar"/>
    <w:uiPriority w:val="99"/>
    <w:unhideWhenUsed/>
    <w:rsid w:val="00FA3A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3A96"/>
    <w:rPr>
      <w:rFonts w:ascii="Garamond" w:hAnsi="Garamond"/>
      <w:sz w:val="24"/>
    </w:rPr>
  </w:style>
  <w:style w:type="paragraph" w:styleId="Footer">
    <w:name w:val="footer"/>
    <w:basedOn w:val="Normal"/>
    <w:link w:val="FooterChar"/>
    <w:uiPriority w:val="99"/>
    <w:unhideWhenUsed/>
    <w:rsid w:val="00FA3A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3A96"/>
    <w:rPr>
      <w:rFonts w:ascii="Garamond" w:hAnsi="Garamond"/>
      <w:sz w:val="24"/>
    </w:rPr>
  </w:style>
  <w:style w:type="paragraph" w:styleId="NoSpacing">
    <w:name w:val="No Spacing"/>
    <w:uiPriority w:val="1"/>
    <w:qFormat/>
    <w:rsid w:val="00EE63CD"/>
    <w:pPr>
      <w:spacing w:after="0" w:line="240" w:lineRule="auto"/>
    </w:pPr>
    <w:rPr>
      <w:rFonts w:ascii="Garamond" w:hAnsi="Garamond"/>
      <w:sz w:val="24"/>
    </w:rPr>
  </w:style>
  <w:style w:type="table" w:customStyle="1" w:styleId="TableGrid1">
    <w:name w:val="Table Grid1"/>
    <w:basedOn w:val="TableNormal"/>
    <w:next w:val="TableGrid"/>
    <w:uiPriority w:val="39"/>
    <w:rsid w:val="00B243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824299">
      <w:bodyDiv w:val="1"/>
      <w:marLeft w:val="0"/>
      <w:marRight w:val="0"/>
      <w:marTop w:val="0"/>
      <w:marBottom w:val="0"/>
      <w:divBdr>
        <w:top w:val="none" w:sz="0" w:space="0" w:color="auto"/>
        <w:left w:val="none" w:sz="0" w:space="0" w:color="auto"/>
        <w:bottom w:val="none" w:sz="0" w:space="0" w:color="auto"/>
        <w:right w:val="none" w:sz="0" w:space="0" w:color="auto"/>
      </w:divBdr>
    </w:div>
    <w:div w:id="429547881">
      <w:bodyDiv w:val="1"/>
      <w:marLeft w:val="0"/>
      <w:marRight w:val="0"/>
      <w:marTop w:val="0"/>
      <w:marBottom w:val="0"/>
      <w:divBdr>
        <w:top w:val="none" w:sz="0" w:space="0" w:color="auto"/>
        <w:left w:val="none" w:sz="0" w:space="0" w:color="auto"/>
        <w:bottom w:val="none" w:sz="0" w:space="0" w:color="auto"/>
        <w:right w:val="none" w:sz="0" w:space="0" w:color="auto"/>
      </w:divBdr>
    </w:div>
    <w:div w:id="831800121">
      <w:bodyDiv w:val="1"/>
      <w:marLeft w:val="0"/>
      <w:marRight w:val="0"/>
      <w:marTop w:val="0"/>
      <w:marBottom w:val="0"/>
      <w:divBdr>
        <w:top w:val="none" w:sz="0" w:space="0" w:color="auto"/>
        <w:left w:val="none" w:sz="0" w:space="0" w:color="auto"/>
        <w:bottom w:val="none" w:sz="0" w:space="0" w:color="auto"/>
        <w:right w:val="none" w:sz="0" w:space="0" w:color="auto"/>
      </w:divBdr>
    </w:div>
    <w:div w:id="1070616570">
      <w:bodyDiv w:val="1"/>
      <w:marLeft w:val="0"/>
      <w:marRight w:val="0"/>
      <w:marTop w:val="0"/>
      <w:marBottom w:val="0"/>
      <w:divBdr>
        <w:top w:val="none" w:sz="0" w:space="0" w:color="auto"/>
        <w:left w:val="none" w:sz="0" w:space="0" w:color="auto"/>
        <w:bottom w:val="none" w:sz="0" w:space="0" w:color="auto"/>
        <w:right w:val="none" w:sz="0" w:space="0" w:color="auto"/>
      </w:divBdr>
    </w:div>
    <w:div w:id="1485004053">
      <w:bodyDiv w:val="1"/>
      <w:marLeft w:val="0"/>
      <w:marRight w:val="0"/>
      <w:marTop w:val="0"/>
      <w:marBottom w:val="0"/>
      <w:divBdr>
        <w:top w:val="none" w:sz="0" w:space="0" w:color="auto"/>
        <w:left w:val="none" w:sz="0" w:space="0" w:color="auto"/>
        <w:bottom w:val="none" w:sz="0" w:space="0" w:color="auto"/>
        <w:right w:val="none" w:sz="0" w:space="0" w:color="auto"/>
      </w:divBdr>
    </w:div>
    <w:div w:id="1494296868">
      <w:bodyDiv w:val="1"/>
      <w:marLeft w:val="0"/>
      <w:marRight w:val="0"/>
      <w:marTop w:val="0"/>
      <w:marBottom w:val="0"/>
      <w:divBdr>
        <w:top w:val="none" w:sz="0" w:space="0" w:color="auto"/>
        <w:left w:val="none" w:sz="0" w:space="0" w:color="auto"/>
        <w:bottom w:val="none" w:sz="0" w:space="0" w:color="auto"/>
        <w:right w:val="none" w:sz="0" w:space="0" w:color="auto"/>
      </w:divBdr>
    </w:div>
    <w:div w:id="1773358840">
      <w:bodyDiv w:val="1"/>
      <w:marLeft w:val="0"/>
      <w:marRight w:val="0"/>
      <w:marTop w:val="0"/>
      <w:marBottom w:val="0"/>
      <w:divBdr>
        <w:top w:val="none" w:sz="0" w:space="0" w:color="auto"/>
        <w:left w:val="none" w:sz="0" w:space="0" w:color="auto"/>
        <w:bottom w:val="none" w:sz="0" w:space="0" w:color="auto"/>
        <w:right w:val="none" w:sz="0" w:space="0" w:color="auto"/>
      </w:divBdr>
    </w:div>
    <w:div w:id="1874224029">
      <w:bodyDiv w:val="1"/>
      <w:marLeft w:val="0"/>
      <w:marRight w:val="0"/>
      <w:marTop w:val="0"/>
      <w:marBottom w:val="0"/>
      <w:divBdr>
        <w:top w:val="none" w:sz="0" w:space="0" w:color="auto"/>
        <w:left w:val="none" w:sz="0" w:space="0" w:color="auto"/>
        <w:bottom w:val="none" w:sz="0" w:space="0" w:color="auto"/>
        <w:right w:val="none" w:sz="0" w:space="0" w:color="auto"/>
      </w:divBdr>
    </w:div>
    <w:div w:id="2020349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olf.vonlaer@gmail.com" TargetMode="Externa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wvl\Desktop\complete%20Ed%20Oct.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wvl\Desktop\PhD\Public%20Choice%20theories\legislators\Post%20August%20version\ratchet%20calculation.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wvl\Desktop\PhD\Public%20Choice%20theories\legislators\deficits%20graph%20with%20data.xls"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wvl\Desktop\Regdata%201971%202014.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wvl\Desktop\PhD\Public%20Choice%20theories\legislators\Post%20August%20version\historical%20inflation%20rates.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wvl\Desktop\PhD\Public%20Choice%20theories\legislators\Post%20August%20version\unemployment.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wvl\Desktop\PhD\Public%20Choice%20theories\legislators\Post%20August%20version\Reading%20times%20comparison.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wvl\Desktop\PhD\Public%20Choice%20theories\legislators\Post%20August%20version\Reading%20times%20comparison.xlsx" TargetMode="External"/><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600" b="1" i="0" u="none" strike="noStrike" kern="1200" baseline="0">
                <a:solidFill>
                  <a:srgbClr val="44546A"/>
                </a:solidFill>
                <a:latin typeface="+mn-lt"/>
                <a:ea typeface="+mn-ea"/>
                <a:cs typeface="+mn-cs"/>
              </a:defRPr>
            </a:pPr>
            <a:r>
              <a:rPr lang="en-US" sz="1200">
                <a:latin typeface="Garamond" panose="02020404030301010803" pitchFamily="18" charset="0"/>
              </a:rPr>
              <a:t>Figure </a:t>
            </a:r>
            <a:r>
              <a:rPr lang="en-US" sz="1200" baseline="0">
                <a:latin typeface="Garamond" panose="02020404030301010803" pitchFamily="18" charset="0"/>
              </a:rPr>
              <a:t>XXX: </a:t>
            </a:r>
            <a:r>
              <a:rPr lang="en-US" sz="1200" b="1" i="0" baseline="0">
                <a:effectLst/>
                <a:latin typeface="Garamond" panose="02020404030301010803" pitchFamily="18" charset="0"/>
              </a:rPr>
              <a:t>Laws becoming longer - Average Word Count</a:t>
            </a:r>
            <a:endParaRPr lang="en-US" sz="1200">
              <a:latin typeface="Garamond" panose="02020404030301010803" pitchFamily="18" charset="0"/>
            </a:endParaRPr>
          </a:p>
        </c:rich>
      </c:tx>
      <c:overlay val="0"/>
      <c:spPr>
        <a:noFill/>
        <a:ln>
          <a:noFill/>
        </a:ln>
        <a:effectLst/>
      </c:spPr>
      <c:txPr>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600" b="1" i="0" u="none" strike="noStrike" kern="1200" baseline="0">
              <a:solidFill>
                <a:srgbClr val="44546A"/>
              </a:solidFill>
              <a:latin typeface="+mn-lt"/>
              <a:ea typeface="+mn-ea"/>
              <a:cs typeface="+mn-cs"/>
            </a:defRPr>
          </a:pPr>
          <a:endParaRPr lang="en-US"/>
        </a:p>
      </c:txPr>
    </c:title>
    <c:autoTitleDeleted val="0"/>
    <c:plotArea>
      <c:layout/>
      <c:scatterChart>
        <c:scatterStyle val="lineMarker"/>
        <c:varyColors val="0"/>
        <c:ser>
          <c:idx val="0"/>
          <c:order val="0"/>
          <c:tx>
            <c:strRef>
              <c:f>Calculations!$H$1</c:f>
              <c:strCache>
                <c:ptCount val="1"/>
                <c:pt idx="0">
                  <c:v>Average Word Count</c:v>
                </c:pt>
              </c:strCache>
            </c:strRef>
          </c:tx>
          <c:spPr>
            <a:ln w="25400" cap="rnd">
              <a:noFill/>
              <a:round/>
            </a:ln>
            <a:effectLst/>
          </c:spPr>
          <c:marker>
            <c:symbol val="circle"/>
            <c:size val="5"/>
            <c:spPr>
              <a:gradFill rotWithShape="1">
                <a:gsLst>
                  <a:gs pos="0">
                    <a:schemeClr val="dk1">
                      <a:tint val="88500"/>
                      <a:satMod val="103000"/>
                      <a:lumMod val="102000"/>
                      <a:tint val="94000"/>
                    </a:schemeClr>
                  </a:gs>
                  <a:gs pos="50000">
                    <a:schemeClr val="dk1">
                      <a:tint val="88500"/>
                      <a:satMod val="110000"/>
                      <a:lumMod val="100000"/>
                      <a:shade val="100000"/>
                    </a:schemeClr>
                  </a:gs>
                  <a:gs pos="100000">
                    <a:schemeClr val="dk1">
                      <a:tint val="88500"/>
                      <a:lumMod val="99000"/>
                      <a:satMod val="120000"/>
                      <a:shade val="78000"/>
                    </a:schemeClr>
                  </a:gs>
                </a:gsLst>
                <a:lin ang="5400000" scaled="0"/>
              </a:gradFill>
              <a:ln w="9525">
                <a:solidFill>
                  <a:schemeClr val="dk1">
                    <a:tint val="88500"/>
                  </a:schemeClr>
                </a:solidFill>
                <a:round/>
              </a:ln>
              <a:effectLst/>
            </c:spPr>
          </c:marker>
          <c:trendline>
            <c:spPr>
              <a:ln w="9525" cap="rnd">
                <a:solidFill>
                  <a:schemeClr val="dk1">
                    <a:tint val="88500"/>
                  </a:schemeClr>
                </a:solidFill>
              </a:ln>
              <a:effectLst/>
            </c:spPr>
            <c:trendlineType val="linear"/>
            <c:dispRSqr val="0"/>
            <c:dispEq val="0"/>
          </c:trendline>
          <c:xVal>
            <c:numRef>
              <c:f>Calculations!$G$2:$G$22</c:f>
              <c:numCache>
                <c:formatCode>General</c:formatCode>
                <c:ptCount val="21"/>
                <c:pt idx="0">
                  <c:v>93</c:v>
                </c:pt>
                <c:pt idx="1">
                  <c:v>94</c:v>
                </c:pt>
                <c:pt idx="2">
                  <c:v>95</c:v>
                </c:pt>
                <c:pt idx="3">
                  <c:v>96</c:v>
                </c:pt>
                <c:pt idx="4">
                  <c:v>97</c:v>
                </c:pt>
                <c:pt idx="5">
                  <c:v>98</c:v>
                </c:pt>
                <c:pt idx="6">
                  <c:v>99</c:v>
                </c:pt>
                <c:pt idx="7">
                  <c:v>100</c:v>
                </c:pt>
                <c:pt idx="8">
                  <c:v>101</c:v>
                </c:pt>
                <c:pt idx="9">
                  <c:v>102</c:v>
                </c:pt>
                <c:pt idx="10">
                  <c:v>103</c:v>
                </c:pt>
                <c:pt idx="11">
                  <c:v>104</c:v>
                </c:pt>
                <c:pt idx="12">
                  <c:v>105</c:v>
                </c:pt>
                <c:pt idx="13">
                  <c:v>106</c:v>
                </c:pt>
                <c:pt idx="14">
                  <c:v>107</c:v>
                </c:pt>
                <c:pt idx="15">
                  <c:v>108</c:v>
                </c:pt>
                <c:pt idx="16">
                  <c:v>109</c:v>
                </c:pt>
                <c:pt idx="17">
                  <c:v>110</c:v>
                </c:pt>
                <c:pt idx="18">
                  <c:v>111</c:v>
                </c:pt>
                <c:pt idx="19">
                  <c:v>112</c:v>
                </c:pt>
                <c:pt idx="20">
                  <c:v>113</c:v>
                </c:pt>
              </c:numCache>
            </c:numRef>
          </c:xVal>
          <c:yVal>
            <c:numRef>
              <c:f>Calculations!$H$2:$H$22</c:f>
              <c:numCache>
                <c:formatCode>General</c:formatCode>
                <c:ptCount val="21"/>
                <c:pt idx="0">
                  <c:v>2894.92</c:v>
                </c:pt>
                <c:pt idx="1">
                  <c:v>3065.68</c:v>
                </c:pt>
                <c:pt idx="2">
                  <c:v>2779.7</c:v>
                </c:pt>
                <c:pt idx="3">
                  <c:v>3036.52</c:v>
                </c:pt>
                <c:pt idx="4">
                  <c:v>3934.35</c:v>
                </c:pt>
                <c:pt idx="5">
                  <c:v>3298.97</c:v>
                </c:pt>
                <c:pt idx="6">
                  <c:v>4587.5600000000004</c:v>
                </c:pt>
                <c:pt idx="7">
                  <c:v>4697.4399999999996</c:v>
                </c:pt>
                <c:pt idx="8">
                  <c:v>5555.76</c:v>
                </c:pt>
                <c:pt idx="9">
                  <c:v>5375.66</c:v>
                </c:pt>
                <c:pt idx="10">
                  <c:v>6673.13</c:v>
                </c:pt>
                <c:pt idx="11">
                  <c:v>8297.7900000000009</c:v>
                </c:pt>
                <c:pt idx="12">
                  <c:v>7445.19</c:v>
                </c:pt>
                <c:pt idx="13">
                  <c:v>3274.34</c:v>
                </c:pt>
                <c:pt idx="14">
                  <c:v>5913.02</c:v>
                </c:pt>
                <c:pt idx="15">
                  <c:v>5587.76</c:v>
                </c:pt>
                <c:pt idx="16">
                  <c:v>6002.75</c:v>
                </c:pt>
                <c:pt idx="17" formatCode="0.00">
                  <c:v>6644.0521739130436</c:v>
                </c:pt>
                <c:pt idx="18" formatCode="0.00">
                  <c:v>8422.488311688312</c:v>
                </c:pt>
                <c:pt idx="19">
                  <c:v>6163.95</c:v>
                </c:pt>
                <c:pt idx="20">
                  <c:v>7221.12</c:v>
                </c:pt>
              </c:numCache>
            </c:numRef>
          </c:yVal>
          <c:smooth val="0"/>
        </c:ser>
        <c:dLbls>
          <c:showLegendKey val="0"/>
          <c:showVal val="0"/>
          <c:showCatName val="0"/>
          <c:showSerName val="0"/>
          <c:showPercent val="0"/>
          <c:showBubbleSize val="0"/>
        </c:dLbls>
        <c:axId val="561170096"/>
        <c:axId val="561171272"/>
      </c:scatterChart>
      <c:valAx>
        <c:axId val="561170096"/>
        <c:scaling>
          <c:orientation val="minMax"/>
          <c:max val="113"/>
          <c:min val="93"/>
        </c:scaling>
        <c:delete val="0"/>
        <c:axPos val="b"/>
        <c:majorGridlines>
          <c:spPr>
            <a:ln w="9525" cap="flat" cmpd="sng" algn="ctr">
              <a:solidFill>
                <a:schemeClr val="tx2">
                  <a:lumMod val="15000"/>
                  <a:lumOff val="85000"/>
                </a:schemeClr>
              </a:solidFill>
              <a:round/>
            </a:ln>
            <a:effectLst/>
          </c:spPr>
        </c:majorGridlines>
        <c:title>
          <c:tx>
            <c:rich>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US"/>
                  <a:t>Congress</a:t>
                </a:r>
              </a:p>
            </c:rich>
          </c:tx>
          <c:overlay val="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561171272"/>
        <c:crosses val="autoZero"/>
        <c:crossBetween val="midCat"/>
        <c:majorUnit val="1"/>
      </c:valAx>
      <c:valAx>
        <c:axId val="561171272"/>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2"/>
                    </a:solidFill>
                    <a:latin typeface="Garamond" panose="02020404030301010803" pitchFamily="18" charset="0"/>
                    <a:ea typeface="+mn-ea"/>
                    <a:cs typeface="+mn-cs"/>
                  </a:defRPr>
                </a:pPr>
                <a:r>
                  <a:rPr lang="en-US" b="0">
                    <a:latin typeface="Garamond" panose="02020404030301010803" pitchFamily="18" charset="0"/>
                  </a:rPr>
                  <a:t>Average Word Count</a:t>
                </a:r>
              </a:p>
            </c:rich>
          </c:tx>
          <c:overlay val="0"/>
          <c:spPr>
            <a:noFill/>
            <a:ln>
              <a:noFill/>
            </a:ln>
            <a:effectLst/>
          </c:spPr>
          <c:txPr>
            <a:bodyPr rot="-5400000" spcFirstLastPara="1" vertOverflow="ellipsis" vert="horz" wrap="square" anchor="ctr" anchorCtr="1"/>
            <a:lstStyle/>
            <a:p>
              <a:pPr>
                <a:defRPr sz="900" b="0" i="0" u="none" strike="noStrike" kern="1200" baseline="0">
                  <a:solidFill>
                    <a:schemeClr val="tx2"/>
                  </a:solidFill>
                  <a:latin typeface="Garamond" panose="02020404030301010803" pitchFamily="18" charset="0"/>
                  <a:ea typeface="+mn-ea"/>
                  <a:cs typeface="+mn-cs"/>
                </a:defRPr>
              </a:pPr>
              <a:endParaRPr lang="en-US"/>
            </a:p>
          </c:txPr>
        </c:title>
        <c:numFmt formatCode="General" sourceLinked="1"/>
        <c:majorTickMark val="none"/>
        <c:minorTickMark val="none"/>
        <c:tickLblPos val="nextTo"/>
        <c:spPr>
          <a:noFill/>
          <a:ln>
            <a:solidFill>
              <a:schemeClr val="tx2">
                <a:lumMod val="40000"/>
                <a:lumOff val="60000"/>
              </a:schemeClr>
            </a:solid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561170096"/>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Figure XXX: Punctuated Equilibrium of Financial</a:t>
            </a:r>
            <a:r>
              <a:rPr lang="en-US" baseline="0"/>
              <a:t> Regulation</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areaChart>
        <c:grouping val="stacked"/>
        <c:varyColors val="0"/>
        <c:ser>
          <c:idx val="2"/>
          <c:order val="2"/>
          <c:tx>
            <c:strRef>
              <c:f>'Comparison over ys'!$D$1</c:f>
              <c:strCache>
                <c:ptCount val="1"/>
                <c:pt idx="0">
                  <c:v>Lengthiest Law per Year</c:v>
                </c:pt>
              </c:strCache>
            </c:strRef>
          </c:tx>
          <c:spPr>
            <a:solidFill>
              <a:schemeClr val="accent3"/>
            </a:solidFill>
            <a:ln>
              <a:noFill/>
            </a:ln>
            <a:effectLst/>
          </c:spPr>
          <c:cat>
            <c:numRef>
              <c:f>'Comparison over ys'!$A$2:$A$42</c:f>
              <c:numCache>
                <c:formatCode>General</c:formatCode>
                <c:ptCount val="41"/>
                <c:pt idx="0">
                  <c:v>1973</c:v>
                </c:pt>
                <c:pt idx="1">
                  <c:v>1974</c:v>
                </c:pt>
                <c:pt idx="2">
                  <c:v>1975</c:v>
                </c:pt>
                <c:pt idx="3">
                  <c:v>1976</c:v>
                </c:pt>
                <c:pt idx="4">
                  <c:v>1977</c:v>
                </c:pt>
                <c:pt idx="5">
                  <c:v>1978</c:v>
                </c:pt>
                <c:pt idx="6">
                  <c:v>1979</c:v>
                </c:pt>
                <c:pt idx="7">
                  <c:v>1980</c:v>
                </c:pt>
                <c:pt idx="8">
                  <c:v>1981</c:v>
                </c:pt>
                <c:pt idx="9">
                  <c:v>1982</c:v>
                </c:pt>
                <c:pt idx="10">
                  <c:v>1983</c:v>
                </c:pt>
                <c:pt idx="11">
                  <c:v>1984</c:v>
                </c:pt>
                <c:pt idx="12">
                  <c:v>1985</c:v>
                </c:pt>
                <c:pt idx="13">
                  <c:v>1986</c:v>
                </c:pt>
                <c:pt idx="14">
                  <c:v>1987</c:v>
                </c:pt>
                <c:pt idx="15">
                  <c:v>1988</c:v>
                </c:pt>
                <c:pt idx="16">
                  <c:v>1989</c:v>
                </c:pt>
                <c:pt idx="17">
                  <c:v>1990</c:v>
                </c:pt>
                <c:pt idx="18">
                  <c:v>1991</c:v>
                </c:pt>
                <c:pt idx="19">
                  <c:v>1992</c:v>
                </c:pt>
                <c:pt idx="20">
                  <c:v>1993</c:v>
                </c:pt>
                <c:pt idx="21">
                  <c:v>1994</c:v>
                </c:pt>
                <c:pt idx="22">
                  <c:v>1995</c:v>
                </c:pt>
                <c:pt idx="23">
                  <c:v>1996</c:v>
                </c:pt>
                <c:pt idx="24">
                  <c:v>1997</c:v>
                </c:pt>
                <c:pt idx="25">
                  <c:v>1998</c:v>
                </c:pt>
                <c:pt idx="26">
                  <c:v>1999</c:v>
                </c:pt>
                <c:pt idx="27">
                  <c:v>2000</c:v>
                </c:pt>
                <c:pt idx="28">
                  <c:v>2001</c:v>
                </c:pt>
                <c:pt idx="29">
                  <c:v>2002</c:v>
                </c:pt>
                <c:pt idx="30">
                  <c:v>2003</c:v>
                </c:pt>
                <c:pt idx="31">
                  <c:v>2004</c:v>
                </c:pt>
                <c:pt idx="32">
                  <c:v>2005</c:v>
                </c:pt>
                <c:pt idx="33">
                  <c:v>2006</c:v>
                </c:pt>
                <c:pt idx="34">
                  <c:v>2007</c:v>
                </c:pt>
                <c:pt idx="35">
                  <c:v>2008</c:v>
                </c:pt>
                <c:pt idx="36">
                  <c:v>2009</c:v>
                </c:pt>
                <c:pt idx="37">
                  <c:v>2010</c:v>
                </c:pt>
                <c:pt idx="38">
                  <c:v>2011</c:v>
                </c:pt>
                <c:pt idx="39">
                  <c:v>2012</c:v>
                </c:pt>
                <c:pt idx="40">
                  <c:v>2013</c:v>
                </c:pt>
              </c:numCache>
            </c:numRef>
          </c:cat>
          <c:val>
            <c:numRef>
              <c:f>'Comparison over ys'!$D$2:$D$42</c:f>
              <c:numCache>
                <c:formatCode>General</c:formatCode>
                <c:ptCount val="41"/>
                <c:pt idx="0">
                  <c:v>4336</c:v>
                </c:pt>
                <c:pt idx="1">
                  <c:v>3318</c:v>
                </c:pt>
                <c:pt idx="2">
                  <c:v>2653</c:v>
                </c:pt>
                <c:pt idx="3">
                  <c:v>2978</c:v>
                </c:pt>
                <c:pt idx="4">
                  <c:v>5408</c:v>
                </c:pt>
                <c:pt idx="5">
                  <c:v>60512</c:v>
                </c:pt>
                <c:pt idx="6">
                  <c:v>4295</c:v>
                </c:pt>
                <c:pt idx="7">
                  <c:v>32993</c:v>
                </c:pt>
                <c:pt idx="8">
                  <c:v>1515</c:v>
                </c:pt>
                <c:pt idx="9">
                  <c:v>96081</c:v>
                </c:pt>
                <c:pt idx="10">
                  <c:v>6799</c:v>
                </c:pt>
                <c:pt idx="11">
                  <c:v>4567</c:v>
                </c:pt>
                <c:pt idx="12">
                  <c:v>0</c:v>
                </c:pt>
                <c:pt idx="13">
                  <c:v>0</c:v>
                </c:pt>
                <c:pt idx="14">
                  <c:v>53911</c:v>
                </c:pt>
                <c:pt idx="15">
                  <c:v>71792</c:v>
                </c:pt>
                <c:pt idx="16">
                  <c:v>170800</c:v>
                </c:pt>
                <c:pt idx="17">
                  <c:v>13247</c:v>
                </c:pt>
                <c:pt idx="18">
                  <c:v>73111</c:v>
                </c:pt>
                <c:pt idx="19">
                  <c:v>16449</c:v>
                </c:pt>
                <c:pt idx="20">
                  <c:v>10315</c:v>
                </c:pt>
                <c:pt idx="21">
                  <c:v>58073</c:v>
                </c:pt>
                <c:pt idx="22">
                  <c:v>12002</c:v>
                </c:pt>
                <c:pt idx="23">
                  <c:v>15706</c:v>
                </c:pt>
                <c:pt idx="24">
                  <c:v>0</c:v>
                </c:pt>
                <c:pt idx="25">
                  <c:v>1841</c:v>
                </c:pt>
                <c:pt idx="26">
                  <c:v>60829</c:v>
                </c:pt>
                <c:pt idx="27">
                  <c:v>0</c:v>
                </c:pt>
                <c:pt idx="28">
                  <c:v>0</c:v>
                </c:pt>
                <c:pt idx="29">
                  <c:v>17428</c:v>
                </c:pt>
                <c:pt idx="30">
                  <c:v>25459</c:v>
                </c:pt>
                <c:pt idx="31">
                  <c:v>0</c:v>
                </c:pt>
                <c:pt idx="32">
                  <c:v>0</c:v>
                </c:pt>
                <c:pt idx="33">
                  <c:v>18387</c:v>
                </c:pt>
                <c:pt idx="34">
                  <c:v>0</c:v>
                </c:pt>
                <c:pt idx="35">
                  <c:v>70455</c:v>
                </c:pt>
                <c:pt idx="36">
                  <c:v>13993</c:v>
                </c:pt>
                <c:pt idx="37">
                  <c:v>357386</c:v>
                </c:pt>
                <c:pt idx="38">
                  <c:v>0</c:v>
                </c:pt>
                <c:pt idx="39">
                  <c:v>0</c:v>
                </c:pt>
                <c:pt idx="40">
                  <c:v>773</c:v>
                </c:pt>
              </c:numCache>
            </c:numRef>
          </c:val>
        </c:ser>
        <c:dLbls>
          <c:showLegendKey val="0"/>
          <c:showVal val="0"/>
          <c:showCatName val="0"/>
          <c:showSerName val="0"/>
          <c:showPercent val="0"/>
          <c:showBubbleSize val="0"/>
        </c:dLbls>
        <c:axId val="561172056"/>
        <c:axId val="561168528"/>
        <c:extLst>
          <c:ext xmlns:c15="http://schemas.microsoft.com/office/drawing/2012/chart" uri="{02D57815-91ED-43cb-92C2-25804820EDAC}">
            <c15:filteredAreaSeries>
              <c15:ser>
                <c:idx val="0"/>
                <c:order val="0"/>
                <c:tx>
                  <c:strRef>
                    <c:extLst>
                      <c:ext uri="{02D57815-91ED-43cb-92C2-25804820EDAC}">
                        <c15:formulaRef>
                          <c15:sqref>'Comparison over ys'!$B$1</c15:sqref>
                        </c15:formulaRef>
                      </c:ext>
                    </c:extLst>
                    <c:strCache>
                      <c:ptCount val="1"/>
                      <c:pt idx="0">
                        <c:v># of laws</c:v>
                      </c:pt>
                    </c:strCache>
                  </c:strRef>
                </c:tx>
                <c:spPr>
                  <a:solidFill>
                    <a:schemeClr val="accent1"/>
                  </a:solidFill>
                  <a:ln>
                    <a:noFill/>
                  </a:ln>
                  <a:effectLst/>
                </c:spPr>
                <c:cat>
                  <c:numRef>
                    <c:extLst>
                      <c:ext uri="{02D57815-91ED-43cb-92C2-25804820EDAC}">
                        <c15:formulaRef>
                          <c15:sqref>'Comparison over ys'!$A$2:$A$42</c15:sqref>
                        </c15:formulaRef>
                      </c:ext>
                    </c:extLst>
                    <c:numCache>
                      <c:formatCode>General</c:formatCode>
                      <c:ptCount val="41"/>
                      <c:pt idx="0">
                        <c:v>1973</c:v>
                      </c:pt>
                      <c:pt idx="1">
                        <c:v>1974</c:v>
                      </c:pt>
                      <c:pt idx="2">
                        <c:v>1975</c:v>
                      </c:pt>
                      <c:pt idx="3">
                        <c:v>1976</c:v>
                      </c:pt>
                      <c:pt idx="4">
                        <c:v>1977</c:v>
                      </c:pt>
                      <c:pt idx="5">
                        <c:v>1978</c:v>
                      </c:pt>
                      <c:pt idx="6">
                        <c:v>1979</c:v>
                      </c:pt>
                      <c:pt idx="7">
                        <c:v>1980</c:v>
                      </c:pt>
                      <c:pt idx="8">
                        <c:v>1981</c:v>
                      </c:pt>
                      <c:pt idx="9">
                        <c:v>1982</c:v>
                      </c:pt>
                      <c:pt idx="10">
                        <c:v>1983</c:v>
                      </c:pt>
                      <c:pt idx="11">
                        <c:v>1984</c:v>
                      </c:pt>
                      <c:pt idx="12">
                        <c:v>1985</c:v>
                      </c:pt>
                      <c:pt idx="13">
                        <c:v>1986</c:v>
                      </c:pt>
                      <c:pt idx="14">
                        <c:v>1987</c:v>
                      </c:pt>
                      <c:pt idx="15">
                        <c:v>1988</c:v>
                      </c:pt>
                      <c:pt idx="16">
                        <c:v>1989</c:v>
                      </c:pt>
                      <c:pt idx="17">
                        <c:v>1990</c:v>
                      </c:pt>
                      <c:pt idx="18">
                        <c:v>1991</c:v>
                      </c:pt>
                      <c:pt idx="19">
                        <c:v>1992</c:v>
                      </c:pt>
                      <c:pt idx="20">
                        <c:v>1993</c:v>
                      </c:pt>
                      <c:pt idx="21">
                        <c:v>1994</c:v>
                      </c:pt>
                      <c:pt idx="22">
                        <c:v>1995</c:v>
                      </c:pt>
                      <c:pt idx="23">
                        <c:v>1996</c:v>
                      </c:pt>
                      <c:pt idx="24">
                        <c:v>1997</c:v>
                      </c:pt>
                      <c:pt idx="25">
                        <c:v>1998</c:v>
                      </c:pt>
                      <c:pt idx="26">
                        <c:v>1999</c:v>
                      </c:pt>
                      <c:pt idx="27">
                        <c:v>2000</c:v>
                      </c:pt>
                      <c:pt idx="28">
                        <c:v>2001</c:v>
                      </c:pt>
                      <c:pt idx="29">
                        <c:v>2002</c:v>
                      </c:pt>
                      <c:pt idx="30">
                        <c:v>2003</c:v>
                      </c:pt>
                      <c:pt idx="31">
                        <c:v>2004</c:v>
                      </c:pt>
                      <c:pt idx="32">
                        <c:v>2005</c:v>
                      </c:pt>
                      <c:pt idx="33">
                        <c:v>2006</c:v>
                      </c:pt>
                      <c:pt idx="34">
                        <c:v>2007</c:v>
                      </c:pt>
                      <c:pt idx="35">
                        <c:v>2008</c:v>
                      </c:pt>
                      <c:pt idx="36">
                        <c:v>2009</c:v>
                      </c:pt>
                      <c:pt idx="37">
                        <c:v>2010</c:v>
                      </c:pt>
                      <c:pt idx="38">
                        <c:v>2011</c:v>
                      </c:pt>
                      <c:pt idx="39">
                        <c:v>2012</c:v>
                      </c:pt>
                      <c:pt idx="40">
                        <c:v>2013</c:v>
                      </c:pt>
                    </c:numCache>
                  </c:numRef>
                </c:cat>
                <c:val>
                  <c:numRef>
                    <c:extLst>
                      <c:ext uri="{02D57815-91ED-43cb-92C2-25804820EDAC}">
                        <c15:formulaRef>
                          <c15:sqref>'Comparison over ys'!$B$2:$B$42</c15:sqref>
                        </c15:formulaRef>
                      </c:ext>
                    </c:extLst>
                    <c:numCache>
                      <c:formatCode>General</c:formatCode>
                      <c:ptCount val="41"/>
                      <c:pt idx="0">
                        <c:v>1</c:v>
                      </c:pt>
                      <c:pt idx="1">
                        <c:v>1</c:v>
                      </c:pt>
                      <c:pt idx="2">
                        <c:v>1</c:v>
                      </c:pt>
                      <c:pt idx="3">
                        <c:v>1</c:v>
                      </c:pt>
                      <c:pt idx="4">
                        <c:v>4</c:v>
                      </c:pt>
                      <c:pt idx="5">
                        <c:v>3</c:v>
                      </c:pt>
                      <c:pt idx="6">
                        <c:v>1</c:v>
                      </c:pt>
                      <c:pt idx="7">
                        <c:v>2</c:v>
                      </c:pt>
                      <c:pt idx="8">
                        <c:v>1</c:v>
                      </c:pt>
                      <c:pt idx="9">
                        <c:v>3</c:v>
                      </c:pt>
                      <c:pt idx="10">
                        <c:v>1</c:v>
                      </c:pt>
                      <c:pt idx="11">
                        <c:v>3</c:v>
                      </c:pt>
                      <c:pt idx="12">
                        <c:v>0</c:v>
                      </c:pt>
                      <c:pt idx="13">
                        <c:v>0</c:v>
                      </c:pt>
                      <c:pt idx="14">
                        <c:v>3</c:v>
                      </c:pt>
                      <c:pt idx="15">
                        <c:v>3</c:v>
                      </c:pt>
                      <c:pt idx="16">
                        <c:v>1</c:v>
                      </c:pt>
                      <c:pt idx="17">
                        <c:v>2</c:v>
                      </c:pt>
                      <c:pt idx="18">
                        <c:v>3</c:v>
                      </c:pt>
                      <c:pt idx="19">
                        <c:v>2</c:v>
                      </c:pt>
                      <c:pt idx="20">
                        <c:v>2</c:v>
                      </c:pt>
                      <c:pt idx="21">
                        <c:v>3</c:v>
                      </c:pt>
                      <c:pt idx="22">
                        <c:v>1</c:v>
                      </c:pt>
                      <c:pt idx="23">
                        <c:v>1</c:v>
                      </c:pt>
                      <c:pt idx="24">
                        <c:v>0</c:v>
                      </c:pt>
                      <c:pt idx="25">
                        <c:v>1</c:v>
                      </c:pt>
                      <c:pt idx="26">
                        <c:v>1</c:v>
                      </c:pt>
                      <c:pt idx="27">
                        <c:v>0</c:v>
                      </c:pt>
                      <c:pt idx="28">
                        <c:v>0</c:v>
                      </c:pt>
                      <c:pt idx="29">
                        <c:v>1</c:v>
                      </c:pt>
                      <c:pt idx="30">
                        <c:v>3</c:v>
                      </c:pt>
                      <c:pt idx="31">
                        <c:v>0</c:v>
                      </c:pt>
                      <c:pt idx="32">
                        <c:v>0</c:v>
                      </c:pt>
                      <c:pt idx="33">
                        <c:v>4</c:v>
                      </c:pt>
                      <c:pt idx="34">
                        <c:v>0</c:v>
                      </c:pt>
                      <c:pt idx="35">
                        <c:v>2</c:v>
                      </c:pt>
                      <c:pt idx="36">
                        <c:v>2</c:v>
                      </c:pt>
                      <c:pt idx="37">
                        <c:v>1</c:v>
                      </c:pt>
                      <c:pt idx="38">
                        <c:v>0</c:v>
                      </c:pt>
                      <c:pt idx="39">
                        <c:v>0</c:v>
                      </c:pt>
                      <c:pt idx="40">
                        <c:v>1</c:v>
                      </c:pt>
                    </c:numCache>
                  </c:numRef>
                </c:val>
              </c15:ser>
            </c15:filteredAreaSeries>
            <c15:filteredAreaSeries>
              <c15:ser>
                <c:idx val="1"/>
                <c:order val="1"/>
                <c:tx>
                  <c:strRef>
                    <c:extLst xmlns:c15="http://schemas.microsoft.com/office/drawing/2012/chart">
                      <c:ext xmlns:c15="http://schemas.microsoft.com/office/drawing/2012/chart" uri="{02D57815-91ED-43cb-92C2-25804820EDAC}">
                        <c15:formulaRef>
                          <c15:sqref>'Comparison over ys'!$C$1</c15:sqref>
                        </c15:formulaRef>
                      </c:ext>
                    </c:extLst>
                    <c:strCache>
                      <c:ptCount val="1"/>
                      <c:pt idx="0">
                        <c:v>Average Word</c:v>
                      </c:pt>
                    </c:strCache>
                  </c:strRef>
                </c:tx>
                <c:spPr>
                  <a:solidFill>
                    <a:schemeClr val="accent2"/>
                  </a:solidFill>
                  <a:ln>
                    <a:noFill/>
                  </a:ln>
                  <a:effectLst/>
                </c:spPr>
                <c:cat>
                  <c:numRef>
                    <c:extLst xmlns:c15="http://schemas.microsoft.com/office/drawing/2012/chart">
                      <c:ext xmlns:c15="http://schemas.microsoft.com/office/drawing/2012/chart" uri="{02D57815-91ED-43cb-92C2-25804820EDAC}">
                        <c15:formulaRef>
                          <c15:sqref>'Comparison over ys'!$A$2:$A$42</c15:sqref>
                        </c15:formulaRef>
                      </c:ext>
                    </c:extLst>
                    <c:numCache>
                      <c:formatCode>General</c:formatCode>
                      <c:ptCount val="41"/>
                      <c:pt idx="0">
                        <c:v>1973</c:v>
                      </c:pt>
                      <c:pt idx="1">
                        <c:v>1974</c:v>
                      </c:pt>
                      <c:pt idx="2">
                        <c:v>1975</c:v>
                      </c:pt>
                      <c:pt idx="3">
                        <c:v>1976</c:v>
                      </c:pt>
                      <c:pt idx="4">
                        <c:v>1977</c:v>
                      </c:pt>
                      <c:pt idx="5">
                        <c:v>1978</c:v>
                      </c:pt>
                      <c:pt idx="6">
                        <c:v>1979</c:v>
                      </c:pt>
                      <c:pt idx="7">
                        <c:v>1980</c:v>
                      </c:pt>
                      <c:pt idx="8">
                        <c:v>1981</c:v>
                      </c:pt>
                      <c:pt idx="9">
                        <c:v>1982</c:v>
                      </c:pt>
                      <c:pt idx="10">
                        <c:v>1983</c:v>
                      </c:pt>
                      <c:pt idx="11">
                        <c:v>1984</c:v>
                      </c:pt>
                      <c:pt idx="12">
                        <c:v>1985</c:v>
                      </c:pt>
                      <c:pt idx="13">
                        <c:v>1986</c:v>
                      </c:pt>
                      <c:pt idx="14">
                        <c:v>1987</c:v>
                      </c:pt>
                      <c:pt idx="15">
                        <c:v>1988</c:v>
                      </c:pt>
                      <c:pt idx="16">
                        <c:v>1989</c:v>
                      </c:pt>
                      <c:pt idx="17">
                        <c:v>1990</c:v>
                      </c:pt>
                      <c:pt idx="18">
                        <c:v>1991</c:v>
                      </c:pt>
                      <c:pt idx="19">
                        <c:v>1992</c:v>
                      </c:pt>
                      <c:pt idx="20">
                        <c:v>1993</c:v>
                      </c:pt>
                      <c:pt idx="21">
                        <c:v>1994</c:v>
                      </c:pt>
                      <c:pt idx="22">
                        <c:v>1995</c:v>
                      </c:pt>
                      <c:pt idx="23">
                        <c:v>1996</c:v>
                      </c:pt>
                      <c:pt idx="24">
                        <c:v>1997</c:v>
                      </c:pt>
                      <c:pt idx="25">
                        <c:v>1998</c:v>
                      </c:pt>
                      <c:pt idx="26">
                        <c:v>1999</c:v>
                      </c:pt>
                      <c:pt idx="27">
                        <c:v>2000</c:v>
                      </c:pt>
                      <c:pt idx="28">
                        <c:v>2001</c:v>
                      </c:pt>
                      <c:pt idx="29">
                        <c:v>2002</c:v>
                      </c:pt>
                      <c:pt idx="30">
                        <c:v>2003</c:v>
                      </c:pt>
                      <c:pt idx="31">
                        <c:v>2004</c:v>
                      </c:pt>
                      <c:pt idx="32">
                        <c:v>2005</c:v>
                      </c:pt>
                      <c:pt idx="33">
                        <c:v>2006</c:v>
                      </c:pt>
                      <c:pt idx="34">
                        <c:v>2007</c:v>
                      </c:pt>
                      <c:pt idx="35">
                        <c:v>2008</c:v>
                      </c:pt>
                      <c:pt idx="36">
                        <c:v>2009</c:v>
                      </c:pt>
                      <c:pt idx="37">
                        <c:v>2010</c:v>
                      </c:pt>
                      <c:pt idx="38">
                        <c:v>2011</c:v>
                      </c:pt>
                      <c:pt idx="39">
                        <c:v>2012</c:v>
                      </c:pt>
                      <c:pt idx="40">
                        <c:v>2013</c:v>
                      </c:pt>
                    </c:numCache>
                  </c:numRef>
                </c:cat>
                <c:val>
                  <c:numRef>
                    <c:extLst xmlns:c15="http://schemas.microsoft.com/office/drawing/2012/chart">
                      <c:ext xmlns:c15="http://schemas.microsoft.com/office/drawing/2012/chart" uri="{02D57815-91ED-43cb-92C2-25804820EDAC}">
                        <c15:formulaRef>
                          <c15:sqref>'Comparison over ys'!$C$2:$C$42</c15:sqref>
                        </c15:formulaRef>
                      </c:ext>
                    </c:extLst>
                    <c:numCache>
                      <c:formatCode>General</c:formatCode>
                      <c:ptCount val="41"/>
                      <c:pt idx="0">
                        <c:v>4336</c:v>
                      </c:pt>
                      <c:pt idx="1">
                        <c:v>3318</c:v>
                      </c:pt>
                      <c:pt idx="2">
                        <c:v>2653</c:v>
                      </c:pt>
                      <c:pt idx="3">
                        <c:v>2978</c:v>
                      </c:pt>
                      <c:pt idx="4">
                        <c:v>3571</c:v>
                      </c:pt>
                      <c:pt idx="5">
                        <c:v>29531</c:v>
                      </c:pt>
                      <c:pt idx="6">
                        <c:v>4295</c:v>
                      </c:pt>
                      <c:pt idx="7">
                        <c:v>17576</c:v>
                      </c:pt>
                      <c:pt idx="8">
                        <c:v>1515</c:v>
                      </c:pt>
                      <c:pt idx="9">
                        <c:v>45591</c:v>
                      </c:pt>
                      <c:pt idx="10">
                        <c:v>6799</c:v>
                      </c:pt>
                      <c:pt idx="11">
                        <c:v>2810</c:v>
                      </c:pt>
                      <c:pt idx="12">
                        <c:v>0</c:v>
                      </c:pt>
                      <c:pt idx="13">
                        <c:v>0</c:v>
                      </c:pt>
                      <c:pt idx="14">
                        <c:v>21060</c:v>
                      </c:pt>
                      <c:pt idx="15">
                        <c:v>25382</c:v>
                      </c:pt>
                      <c:pt idx="16">
                        <c:v>170800</c:v>
                      </c:pt>
                      <c:pt idx="17">
                        <c:v>11237</c:v>
                      </c:pt>
                      <c:pt idx="18">
                        <c:v>30023</c:v>
                      </c:pt>
                      <c:pt idx="19">
                        <c:v>9213</c:v>
                      </c:pt>
                      <c:pt idx="20">
                        <c:v>5855</c:v>
                      </c:pt>
                      <c:pt idx="21">
                        <c:v>26075</c:v>
                      </c:pt>
                      <c:pt idx="22">
                        <c:v>12002</c:v>
                      </c:pt>
                      <c:pt idx="23">
                        <c:v>15706</c:v>
                      </c:pt>
                      <c:pt idx="24">
                        <c:v>0</c:v>
                      </c:pt>
                      <c:pt idx="25">
                        <c:v>1841</c:v>
                      </c:pt>
                      <c:pt idx="26">
                        <c:v>60829</c:v>
                      </c:pt>
                      <c:pt idx="27">
                        <c:v>0</c:v>
                      </c:pt>
                      <c:pt idx="28">
                        <c:v>0</c:v>
                      </c:pt>
                      <c:pt idx="29">
                        <c:v>17428</c:v>
                      </c:pt>
                      <c:pt idx="30">
                        <c:v>11286</c:v>
                      </c:pt>
                      <c:pt idx="31">
                        <c:v>0</c:v>
                      </c:pt>
                      <c:pt idx="32">
                        <c:v>0</c:v>
                      </c:pt>
                      <c:pt idx="33">
                        <c:v>8449</c:v>
                      </c:pt>
                      <c:pt idx="34">
                        <c:v>0</c:v>
                      </c:pt>
                      <c:pt idx="35">
                        <c:v>35573</c:v>
                      </c:pt>
                      <c:pt idx="36">
                        <c:v>10035</c:v>
                      </c:pt>
                      <c:pt idx="37">
                        <c:v>357386</c:v>
                      </c:pt>
                      <c:pt idx="38">
                        <c:v>0</c:v>
                      </c:pt>
                      <c:pt idx="39">
                        <c:v>0</c:v>
                      </c:pt>
                      <c:pt idx="40">
                        <c:v>773</c:v>
                      </c:pt>
                    </c:numCache>
                  </c:numRef>
                </c:val>
              </c15:ser>
            </c15:filteredAreaSeries>
          </c:ext>
        </c:extLst>
      </c:areaChart>
      <c:catAx>
        <c:axId val="561172056"/>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1168528"/>
        <c:crosses val="autoZero"/>
        <c:auto val="1"/>
        <c:lblAlgn val="ctr"/>
        <c:lblOffset val="100"/>
        <c:noMultiLvlLbl val="0"/>
      </c:catAx>
      <c:valAx>
        <c:axId val="561168528"/>
        <c:scaling>
          <c:orientation val="minMax"/>
          <c:max val="300000"/>
        </c:scaling>
        <c:delete val="0"/>
        <c:axPos val="l"/>
        <c:majorGridlines>
          <c:spPr>
            <a:ln w="9525" cap="flat" cmpd="sng" algn="ctr">
              <a:solidFill>
                <a:schemeClr val="tx1">
                  <a:lumMod val="15000"/>
                  <a:lumOff val="85000"/>
                  <a:alpha val="99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1172056"/>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kern="1200" spc="0" baseline="0">
                <a:solidFill>
                  <a:sysClr val="windowText" lastClr="000000"/>
                </a:solidFill>
                <a:latin typeface="+mn-lt"/>
                <a:ea typeface="+mn-ea"/>
                <a:cs typeface="+mn-cs"/>
              </a:rPr>
              <a:t>Figure</a:t>
            </a:r>
            <a:r>
              <a:rPr lang="en-US">
                <a:solidFill>
                  <a:sysClr val="windowText" lastClr="000000"/>
                </a:solidFill>
              </a:rPr>
              <a:t> XXX: Budget Surplus or Deficit 1970 - 2014</a:t>
            </a:r>
          </a:p>
        </c:rich>
      </c:tx>
      <c:overlay val="0"/>
      <c:spPr>
        <a:noFill/>
        <a:ln w="25400">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4"/>
          <c:order val="0"/>
          <c:spPr>
            <a:solidFill>
              <a:schemeClr val="accent3">
                <a:tint val="54000"/>
              </a:schemeClr>
            </a:solidFill>
            <a:ln>
              <a:noFill/>
            </a:ln>
            <a:effectLst/>
          </c:spPr>
          <c:invertIfNegative val="0"/>
          <c:cat>
            <c:strRef>
              <c:f>Table!$A$76:$A$120</c:f>
              <c:strCach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strCache>
            </c:strRef>
          </c:cat>
          <c:val>
            <c:numRef>
              <c:f>Table!$G$76:$G$120</c:f>
              <c:numCache>
                <c:formatCode>#,##0</c:formatCode>
                <c:ptCount val="45"/>
                <c:pt idx="0">
                  <c:v>-8694</c:v>
                </c:pt>
                <c:pt idx="1">
                  <c:v>-26052</c:v>
                </c:pt>
                <c:pt idx="2">
                  <c:v>-26068</c:v>
                </c:pt>
                <c:pt idx="3">
                  <c:v>-15246</c:v>
                </c:pt>
                <c:pt idx="4">
                  <c:v>-7198</c:v>
                </c:pt>
                <c:pt idx="5">
                  <c:v>-54148</c:v>
                </c:pt>
                <c:pt idx="6">
                  <c:v>-69427</c:v>
                </c:pt>
                <c:pt idx="7">
                  <c:v>-49933</c:v>
                </c:pt>
                <c:pt idx="8">
                  <c:v>-55416</c:v>
                </c:pt>
                <c:pt idx="9">
                  <c:v>-39633</c:v>
                </c:pt>
                <c:pt idx="10">
                  <c:v>-73141</c:v>
                </c:pt>
                <c:pt idx="11">
                  <c:v>-73859</c:v>
                </c:pt>
                <c:pt idx="12">
                  <c:v>-120593</c:v>
                </c:pt>
                <c:pt idx="13">
                  <c:v>-207692</c:v>
                </c:pt>
                <c:pt idx="14">
                  <c:v>-185269</c:v>
                </c:pt>
                <c:pt idx="15">
                  <c:v>-221529</c:v>
                </c:pt>
                <c:pt idx="16">
                  <c:v>-237915</c:v>
                </c:pt>
                <c:pt idx="17">
                  <c:v>-168357</c:v>
                </c:pt>
                <c:pt idx="18">
                  <c:v>-192265</c:v>
                </c:pt>
                <c:pt idx="19">
                  <c:v>-205393</c:v>
                </c:pt>
                <c:pt idx="20">
                  <c:v>-277626</c:v>
                </c:pt>
                <c:pt idx="21">
                  <c:v>-321435</c:v>
                </c:pt>
                <c:pt idx="22">
                  <c:v>-340408</c:v>
                </c:pt>
                <c:pt idx="23">
                  <c:v>-300398</c:v>
                </c:pt>
                <c:pt idx="24">
                  <c:v>-258840</c:v>
                </c:pt>
                <c:pt idx="25">
                  <c:v>-226367</c:v>
                </c:pt>
                <c:pt idx="26">
                  <c:v>-174019</c:v>
                </c:pt>
                <c:pt idx="27">
                  <c:v>-103248</c:v>
                </c:pt>
                <c:pt idx="28">
                  <c:v>-29925</c:v>
                </c:pt>
                <c:pt idx="29">
                  <c:v>1920</c:v>
                </c:pt>
                <c:pt idx="30">
                  <c:v>86422</c:v>
                </c:pt>
                <c:pt idx="31">
                  <c:v>-32445</c:v>
                </c:pt>
                <c:pt idx="32">
                  <c:v>-317417</c:v>
                </c:pt>
                <c:pt idx="33">
                  <c:v>-538418</c:v>
                </c:pt>
                <c:pt idx="34">
                  <c:v>-567961</c:v>
                </c:pt>
                <c:pt idx="35">
                  <c:v>-493611</c:v>
                </c:pt>
                <c:pt idx="36">
                  <c:v>-434494</c:v>
                </c:pt>
                <c:pt idx="37">
                  <c:v>-342153</c:v>
                </c:pt>
                <c:pt idx="38">
                  <c:v>-641848</c:v>
                </c:pt>
                <c:pt idx="39">
                  <c:v>-1549681</c:v>
                </c:pt>
                <c:pt idx="40">
                  <c:v>-1371378</c:v>
                </c:pt>
                <c:pt idx="41">
                  <c:v>-1366775</c:v>
                </c:pt>
                <c:pt idx="42">
                  <c:v>-1148876</c:v>
                </c:pt>
                <c:pt idx="43">
                  <c:v>-719007</c:v>
                </c:pt>
                <c:pt idx="44">
                  <c:v>-514114</c:v>
                </c:pt>
              </c:numCache>
            </c:numRef>
          </c:val>
        </c:ser>
        <c:dLbls>
          <c:showLegendKey val="0"/>
          <c:showVal val="0"/>
          <c:showCatName val="0"/>
          <c:showSerName val="0"/>
          <c:showPercent val="0"/>
          <c:showBubbleSize val="0"/>
        </c:dLbls>
        <c:gapWidth val="150"/>
        <c:axId val="559058048"/>
        <c:axId val="559055696"/>
      </c:barChart>
      <c:catAx>
        <c:axId val="559058048"/>
        <c:scaling>
          <c:orientation val="minMax"/>
        </c:scaling>
        <c:delete val="0"/>
        <c:axPos val="b"/>
        <c:numFmt formatCode="General" sourceLinked="1"/>
        <c:majorTickMark val="none"/>
        <c:minorTickMark val="none"/>
        <c:tickLblPos val="high"/>
        <c:spPr>
          <a:noFill/>
          <a:ln w="9525" cap="flat" cmpd="sng" algn="ctr">
            <a:solidFill>
              <a:schemeClr val="tx1">
                <a:lumMod val="15000"/>
                <a:lumOff val="85000"/>
              </a:schemeClr>
            </a:solidFill>
            <a:prstDash val="solid"/>
            <a:round/>
          </a:ln>
          <a:effectLst/>
        </c:spPr>
        <c:txPr>
          <a:bodyPr rot="-60000000" spcFirstLastPara="1" vertOverflow="ellipsis" vert="horz" wrap="square" anchor="t" anchorCtr="1"/>
          <a:lstStyle/>
          <a:p>
            <a:pPr>
              <a:defRPr sz="1050" b="0" i="0" u="none" strike="noStrike" kern="1200" baseline="0">
                <a:solidFill>
                  <a:schemeClr val="tx1">
                    <a:lumMod val="65000"/>
                    <a:lumOff val="35000"/>
                  </a:schemeClr>
                </a:solidFill>
                <a:latin typeface="+mn-lt"/>
                <a:ea typeface="+mn-ea"/>
                <a:cs typeface="+mn-cs"/>
              </a:defRPr>
            </a:pPr>
            <a:endParaRPr lang="en-US"/>
          </a:p>
        </c:txPr>
        <c:crossAx val="559055696"/>
        <c:crosses val="autoZero"/>
        <c:auto val="1"/>
        <c:lblAlgn val="ctr"/>
        <c:lblOffset val="100"/>
        <c:noMultiLvlLbl val="0"/>
      </c:catAx>
      <c:valAx>
        <c:axId val="55905569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0"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crossAx val="559058048"/>
        <c:crosses val="autoZero"/>
        <c:crossBetween val="between"/>
      </c:valAx>
      <c:spPr>
        <a:noFill/>
        <a:ln w="25400">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Garamond" panose="02020404030301010803" pitchFamily="18" charset="0"/>
                <a:ea typeface="+mn-ea"/>
                <a:cs typeface="+mn-cs"/>
              </a:defRPr>
            </a:pPr>
            <a:r>
              <a:rPr lang="en-US"/>
              <a:t>Figure XXX: Growth of Regulatory Restrictions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Garamond" panose="02020404030301010803" pitchFamily="18" charset="0"/>
              <a:ea typeface="+mn-ea"/>
              <a:cs typeface="+mn-cs"/>
            </a:defRPr>
          </a:pPr>
          <a:endParaRPr lang="en-US"/>
        </a:p>
      </c:txPr>
    </c:title>
    <c:autoTitleDeleted val="0"/>
    <c:plotArea>
      <c:layout>
        <c:manualLayout>
          <c:layoutTarget val="inner"/>
          <c:xMode val="edge"/>
          <c:yMode val="edge"/>
          <c:x val="7.0208164718071356E-2"/>
          <c:y val="0.13862709580926802"/>
          <c:w val="0.89227202727132837"/>
          <c:h val="0.6714534438634655"/>
        </c:manualLayout>
      </c:layout>
      <c:areaChart>
        <c:grouping val="stacked"/>
        <c:varyColors val="0"/>
        <c:ser>
          <c:idx val="1"/>
          <c:order val="1"/>
          <c:tx>
            <c:strRef>
              <c:f>Sheet4!$D$11</c:f>
              <c:strCache>
                <c:ptCount val="1"/>
                <c:pt idx="0">
                  <c:v>Title 12</c:v>
                </c:pt>
              </c:strCache>
            </c:strRef>
          </c:tx>
          <c:spPr>
            <a:solidFill>
              <a:schemeClr val="tx1"/>
            </a:solidFill>
            <a:ln>
              <a:noFill/>
            </a:ln>
            <a:effectLst/>
          </c:spPr>
          <c:cat>
            <c:numRef>
              <c:f>Sheet4!$E$10:$AW$10</c:f>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f>Sheet4!$E$11:$AW$11</c:f>
              <c:numCache>
                <c:formatCode>General</c:formatCode>
                <c:ptCount val="45"/>
                <c:pt idx="0">
                  <c:v>7861</c:v>
                </c:pt>
                <c:pt idx="1">
                  <c:v>8502</c:v>
                </c:pt>
                <c:pt idx="2">
                  <c:v>9861</c:v>
                </c:pt>
                <c:pt idx="3">
                  <c:v>10437</c:v>
                </c:pt>
                <c:pt idx="4">
                  <c:v>10908</c:v>
                </c:pt>
                <c:pt idx="5">
                  <c:v>11701</c:v>
                </c:pt>
                <c:pt idx="6">
                  <c:v>13490</c:v>
                </c:pt>
                <c:pt idx="7">
                  <c:v>13845</c:v>
                </c:pt>
                <c:pt idx="8">
                  <c:v>15154</c:v>
                </c:pt>
                <c:pt idx="9">
                  <c:v>15990</c:v>
                </c:pt>
                <c:pt idx="10">
                  <c:v>16572</c:v>
                </c:pt>
                <c:pt idx="11">
                  <c:v>17001</c:v>
                </c:pt>
                <c:pt idx="12">
                  <c:v>18315</c:v>
                </c:pt>
                <c:pt idx="13">
                  <c:v>17464</c:v>
                </c:pt>
                <c:pt idx="14">
                  <c:v>17357</c:v>
                </c:pt>
                <c:pt idx="15">
                  <c:v>17219</c:v>
                </c:pt>
                <c:pt idx="16">
                  <c:v>18604</c:v>
                </c:pt>
                <c:pt idx="17">
                  <c:v>19137</c:v>
                </c:pt>
                <c:pt idx="18">
                  <c:v>18111</c:v>
                </c:pt>
                <c:pt idx="19">
                  <c:v>18959</c:v>
                </c:pt>
                <c:pt idx="20">
                  <c:v>19471</c:v>
                </c:pt>
                <c:pt idx="21">
                  <c:v>23059</c:v>
                </c:pt>
                <c:pt idx="22">
                  <c:v>23736</c:v>
                </c:pt>
                <c:pt idx="23">
                  <c:v>25003</c:v>
                </c:pt>
                <c:pt idx="24">
                  <c:v>23786</c:v>
                </c:pt>
                <c:pt idx="25">
                  <c:v>24514</c:v>
                </c:pt>
                <c:pt idx="26">
                  <c:v>23445</c:v>
                </c:pt>
                <c:pt idx="27">
                  <c:v>23447</c:v>
                </c:pt>
                <c:pt idx="28">
                  <c:v>22110</c:v>
                </c:pt>
                <c:pt idx="29">
                  <c:v>21650</c:v>
                </c:pt>
                <c:pt idx="30">
                  <c:v>22109</c:v>
                </c:pt>
                <c:pt idx="31">
                  <c:v>23472</c:v>
                </c:pt>
                <c:pt idx="32">
                  <c:v>24527</c:v>
                </c:pt>
                <c:pt idx="33">
                  <c:v>24867</c:v>
                </c:pt>
                <c:pt idx="34">
                  <c:v>24787</c:v>
                </c:pt>
                <c:pt idx="35">
                  <c:v>25078</c:v>
                </c:pt>
                <c:pt idx="36">
                  <c:v>25316</c:v>
                </c:pt>
                <c:pt idx="37">
                  <c:v>25552</c:v>
                </c:pt>
                <c:pt idx="38">
                  <c:v>26072</c:v>
                </c:pt>
                <c:pt idx="39">
                  <c:v>26755</c:v>
                </c:pt>
                <c:pt idx="40">
                  <c:v>29089</c:v>
                </c:pt>
                <c:pt idx="41">
                  <c:v>30098</c:v>
                </c:pt>
                <c:pt idx="42">
                  <c:v>43689</c:v>
                </c:pt>
                <c:pt idx="43">
                  <c:v>45575</c:v>
                </c:pt>
                <c:pt idx="44">
                  <c:v>52475</c:v>
                </c:pt>
              </c:numCache>
            </c:numRef>
          </c:val>
        </c:ser>
        <c:ser>
          <c:idx val="2"/>
          <c:order val="2"/>
          <c:tx>
            <c:strRef>
              <c:f>Sheet4!$D$12</c:f>
              <c:strCache>
                <c:ptCount val="1"/>
                <c:pt idx="0">
                  <c:v>Title 17</c:v>
                </c:pt>
              </c:strCache>
            </c:strRef>
          </c:tx>
          <c:spPr>
            <a:solidFill>
              <a:schemeClr val="dk1">
                <a:tint val="75000"/>
              </a:schemeClr>
            </a:solidFill>
            <a:ln>
              <a:noFill/>
            </a:ln>
            <a:effectLst/>
          </c:spPr>
          <c:cat>
            <c:numRef>
              <c:f>Sheet4!$E$10:$AW$10</c:f>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f>Sheet4!$E$12:$AW$12</c:f>
              <c:numCache>
                <c:formatCode>General</c:formatCode>
                <c:ptCount val="45"/>
                <c:pt idx="0">
                  <c:v>6145</c:v>
                </c:pt>
                <c:pt idx="1">
                  <c:v>6181</c:v>
                </c:pt>
                <c:pt idx="2">
                  <c:v>6413</c:v>
                </c:pt>
                <c:pt idx="3">
                  <c:v>6937</c:v>
                </c:pt>
                <c:pt idx="4">
                  <c:v>7201</c:v>
                </c:pt>
                <c:pt idx="5">
                  <c:v>7382</c:v>
                </c:pt>
                <c:pt idx="6">
                  <c:v>7638</c:v>
                </c:pt>
                <c:pt idx="7">
                  <c:v>8488</c:v>
                </c:pt>
                <c:pt idx="8">
                  <c:v>9035</c:v>
                </c:pt>
                <c:pt idx="9">
                  <c:v>9899</c:v>
                </c:pt>
                <c:pt idx="10">
                  <c:v>10598</c:v>
                </c:pt>
                <c:pt idx="11">
                  <c:v>10934</c:v>
                </c:pt>
                <c:pt idx="12">
                  <c:v>11555</c:v>
                </c:pt>
                <c:pt idx="13">
                  <c:v>11608</c:v>
                </c:pt>
                <c:pt idx="14">
                  <c:v>11851</c:v>
                </c:pt>
                <c:pt idx="15">
                  <c:v>12426</c:v>
                </c:pt>
                <c:pt idx="16">
                  <c:v>12547</c:v>
                </c:pt>
                <c:pt idx="17">
                  <c:v>12772</c:v>
                </c:pt>
                <c:pt idx="18">
                  <c:v>13351</c:v>
                </c:pt>
                <c:pt idx="19">
                  <c:v>13639</c:v>
                </c:pt>
                <c:pt idx="20">
                  <c:v>13696</c:v>
                </c:pt>
                <c:pt idx="21">
                  <c:v>14191</c:v>
                </c:pt>
                <c:pt idx="22">
                  <c:v>14531</c:v>
                </c:pt>
                <c:pt idx="23">
                  <c:v>15373</c:v>
                </c:pt>
                <c:pt idx="24">
                  <c:v>15618</c:v>
                </c:pt>
                <c:pt idx="25">
                  <c:v>15838</c:v>
                </c:pt>
                <c:pt idx="26">
                  <c:v>15954</c:v>
                </c:pt>
                <c:pt idx="27">
                  <c:v>16445</c:v>
                </c:pt>
                <c:pt idx="28">
                  <c:v>16401</c:v>
                </c:pt>
                <c:pt idx="29">
                  <c:v>16639</c:v>
                </c:pt>
                <c:pt idx="30">
                  <c:v>16733</c:v>
                </c:pt>
                <c:pt idx="31">
                  <c:v>16945</c:v>
                </c:pt>
                <c:pt idx="32">
                  <c:v>17333</c:v>
                </c:pt>
                <c:pt idx="33">
                  <c:v>17754</c:v>
                </c:pt>
                <c:pt idx="34">
                  <c:v>18114</c:v>
                </c:pt>
                <c:pt idx="35">
                  <c:v>18369</c:v>
                </c:pt>
                <c:pt idx="36">
                  <c:v>18469</c:v>
                </c:pt>
                <c:pt idx="37">
                  <c:v>18771</c:v>
                </c:pt>
                <c:pt idx="38">
                  <c:v>19054</c:v>
                </c:pt>
                <c:pt idx="39">
                  <c:v>18787</c:v>
                </c:pt>
                <c:pt idx="40">
                  <c:v>19177</c:v>
                </c:pt>
                <c:pt idx="41">
                  <c:v>19596</c:v>
                </c:pt>
                <c:pt idx="42">
                  <c:v>20852</c:v>
                </c:pt>
                <c:pt idx="43">
                  <c:v>21686</c:v>
                </c:pt>
                <c:pt idx="44">
                  <c:v>23409</c:v>
                </c:pt>
              </c:numCache>
            </c:numRef>
          </c:val>
        </c:ser>
        <c:dLbls>
          <c:showLegendKey val="0"/>
          <c:showVal val="0"/>
          <c:showCatName val="0"/>
          <c:showSerName val="0"/>
          <c:showPercent val="0"/>
          <c:showBubbleSize val="0"/>
        </c:dLbls>
        <c:axId val="559056088"/>
        <c:axId val="568366584"/>
        <c:extLst>
          <c:ext xmlns:c15="http://schemas.microsoft.com/office/drawing/2012/chart" uri="{02D57815-91ED-43cb-92C2-25804820EDAC}">
            <c15:filteredAreaSeries>
              <c15:ser>
                <c:idx val="0"/>
                <c:order val="0"/>
                <c:tx>
                  <c:strRef>
                    <c:extLst>
                      <c:ext uri="{02D57815-91ED-43cb-92C2-25804820EDAC}">
                        <c15:formulaRef>
                          <c15:sqref>Sheet4!$D$10</c15:sqref>
                        </c15:formulaRef>
                      </c:ext>
                    </c:extLst>
                    <c:strCache>
                      <c:ptCount val="1"/>
                      <c:pt idx="0">
                        <c:v>Year</c:v>
                      </c:pt>
                    </c:strCache>
                  </c:strRef>
                </c:tx>
                <c:spPr>
                  <a:solidFill>
                    <a:schemeClr val="dk1">
                      <a:tint val="88500"/>
                    </a:schemeClr>
                  </a:solidFill>
                  <a:ln>
                    <a:noFill/>
                  </a:ln>
                  <a:effectLst/>
                </c:spPr>
                <c:cat>
                  <c:numRef>
                    <c:extLst>
                      <c:ext uri="{02D57815-91ED-43cb-92C2-25804820EDAC}">
                        <c15:formulaRef>
                          <c15:sqref>Sheet4!$E$10:$AW$10</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c:ext uri="{02D57815-91ED-43cb-92C2-25804820EDAC}">
                        <c15:formulaRef>
                          <c15:sqref>Sheet4!$E$10:$AW$10</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val>
              </c15:ser>
            </c15:filteredAreaSeries>
          </c:ext>
        </c:extLst>
      </c:areaChart>
      <c:catAx>
        <c:axId val="559056088"/>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Garamond" panose="02020404030301010803" pitchFamily="18" charset="0"/>
                <a:ea typeface="+mn-ea"/>
                <a:cs typeface="+mn-cs"/>
              </a:defRPr>
            </a:pPr>
            <a:endParaRPr lang="en-US"/>
          </a:p>
        </c:txPr>
        <c:crossAx val="568366584"/>
        <c:crosses val="autoZero"/>
        <c:auto val="1"/>
        <c:lblAlgn val="ctr"/>
        <c:lblOffset val="100"/>
        <c:noMultiLvlLbl val="0"/>
      </c:catAx>
      <c:valAx>
        <c:axId val="5683665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Garamond" panose="02020404030301010803" pitchFamily="18" charset="0"/>
                <a:ea typeface="+mn-ea"/>
                <a:cs typeface="+mn-cs"/>
              </a:defRPr>
            </a:pPr>
            <a:endParaRPr lang="en-US"/>
          </a:p>
        </c:txPr>
        <c:crossAx val="559056088"/>
        <c:crosses val="autoZero"/>
        <c:crossBetween val="midCat"/>
        <c:majorUnit val="10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Garamond" panose="02020404030301010803" pitchFamily="18" charset="0"/>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latin typeface="Garamond" panose="02020404030301010803" pitchFamily="18" charset="0"/>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Figure XXX:</a:t>
            </a:r>
            <a:r>
              <a:rPr lang="en-US" baseline="0"/>
              <a:t> </a:t>
            </a:r>
            <a:r>
              <a:rPr lang="en-US"/>
              <a:t>Average</a:t>
            </a:r>
            <a:r>
              <a:rPr lang="en-US" baseline="0"/>
              <a:t> Annual Inflation Rate</a:t>
            </a:r>
          </a:p>
          <a:p>
            <a:pPr>
              <a:defRPr/>
            </a:pPr>
            <a:r>
              <a:rPr lang="en-US" baseline="0"/>
              <a:t>Source: BLS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12"/>
          <c:order val="12"/>
          <c:spPr>
            <a:ln w="28575" cap="rnd">
              <a:solidFill>
                <a:schemeClr val="accent1">
                  <a:lumMod val="80000"/>
                  <a:lumOff val="20000"/>
                </a:schemeClr>
              </a:solidFill>
              <a:round/>
            </a:ln>
            <a:effectLst/>
          </c:spPr>
          <c:marker>
            <c:symbol val="none"/>
          </c:marker>
          <c:cat>
            <c:numRef>
              <c:f>Sheet1!$A$58:$A$102</c:f>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f>Sheet1!$N$58:$N$102</c:f>
              <c:numCache>
                <c:formatCode>General</c:formatCode>
                <c:ptCount val="45"/>
                <c:pt idx="0">
                  <c:v>5.7</c:v>
                </c:pt>
                <c:pt idx="1">
                  <c:v>4.4000000000000004</c:v>
                </c:pt>
                <c:pt idx="2">
                  <c:v>3.2</c:v>
                </c:pt>
                <c:pt idx="3">
                  <c:v>6.2</c:v>
                </c:pt>
                <c:pt idx="4">
                  <c:v>11</c:v>
                </c:pt>
                <c:pt idx="5">
                  <c:v>9.1</c:v>
                </c:pt>
                <c:pt idx="6">
                  <c:v>5.8</c:v>
                </c:pt>
                <c:pt idx="7">
                  <c:v>6.5</c:v>
                </c:pt>
                <c:pt idx="8">
                  <c:v>7.6</c:v>
                </c:pt>
                <c:pt idx="9">
                  <c:v>11.3</c:v>
                </c:pt>
                <c:pt idx="10">
                  <c:v>13.5</c:v>
                </c:pt>
                <c:pt idx="11">
                  <c:v>10.3</c:v>
                </c:pt>
                <c:pt idx="12">
                  <c:v>6.2</c:v>
                </c:pt>
                <c:pt idx="13">
                  <c:v>3.2</c:v>
                </c:pt>
                <c:pt idx="14">
                  <c:v>4.3</c:v>
                </c:pt>
                <c:pt idx="15">
                  <c:v>3.6</c:v>
                </c:pt>
                <c:pt idx="16">
                  <c:v>1.9</c:v>
                </c:pt>
                <c:pt idx="17">
                  <c:v>3.6</c:v>
                </c:pt>
                <c:pt idx="18">
                  <c:v>4.0999999999999996</c:v>
                </c:pt>
                <c:pt idx="19">
                  <c:v>4.8</c:v>
                </c:pt>
                <c:pt idx="20">
                  <c:v>5.4</c:v>
                </c:pt>
                <c:pt idx="21">
                  <c:v>4.2</c:v>
                </c:pt>
                <c:pt idx="22">
                  <c:v>3</c:v>
                </c:pt>
                <c:pt idx="23">
                  <c:v>3</c:v>
                </c:pt>
                <c:pt idx="24">
                  <c:v>2.6</c:v>
                </c:pt>
                <c:pt idx="25">
                  <c:v>2.8</c:v>
                </c:pt>
                <c:pt idx="26">
                  <c:v>3</c:v>
                </c:pt>
                <c:pt idx="27">
                  <c:v>2.2999999999999998</c:v>
                </c:pt>
                <c:pt idx="28">
                  <c:v>1.6</c:v>
                </c:pt>
                <c:pt idx="29">
                  <c:v>2.2000000000000002</c:v>
                </c:pt>
                <c:pt idx="30">
                  <c:v>3.4</c:v>
                </c:pt>
                <c:pt idx="31">
                  <c:v>2.8</c:v>
                </c:pt>
                <c:pt idx="32">
                  <c:v>1.6</c:v>
                </c:pt>
                <c:pt idx="33">
                  <c:v>2.2999999999999998</c:v>
                </c:pt>
                <c:pt idx="34">
                  <c:v>2.7</c:v>
                </c:pt>
                <c:pt idx="35">
                  <c:v>3.4</c:v>
                </c:pt>
                <c:pt idx="36">
                  <c:v>3.2</c:v>
                </c:pt>
                <c:pt idx="37">
                  <c:v>2.8</c:v>
                </c:pt>
                <c:pt idx="38">
                  <c:v>3.8</c:v>
                </c:pt>
                <c:pt idx="39">
                  <c:v>-0.4</c:v>
                </c:pt>
                <c:pt idx="40">
                  <c:v>1.6</c:v>
                </c:pt>
                <c:pt idx="41">
                  <c:v>3.2</c:v>
                </c:pt>
                <c:pt idx="42">
                  <c:v>2.1</c:v>
                </c:pt>
                <c:pt idx="43">
                  <c:v>1.5</c:v>
                </c:pt>
                <c:pt idx="44">
                  <c:v>1.6</c:v>
                </c:pt>
              </c:numCache>
            </c:numRef>
          </c:val>
          <c:smooth val="0"/>
        </c:ser>
        <c:dLbls>
          <c:showLegendKey val="0"/>
          <c:showVal val="0"/>
          <c:showCatName val="0"/>
          <c:showSerName val="0"/>
          <c:showPercent val="0"/>
          <c:showBubbleSize val="0"/>
        </c:dLbls>
        <c:smooth val="0"/>
        <c:axId val="568365800"/>
        <c:axId val="568367760"/>
        <c:extLst>
          <c:ext xmlns:c15="http://schemas.microsoft.com/office/drawing/2012/chart" uri="{02D57815-91ED-43cb-92C2-25804820EDAC}">
            <c15:filteredLineSeries>
              <c15:ser>
                <c:idx val="0"/>
                <c:order val="0"/>
                <c:spPr>
                  <a:ln w="28575" cap="rnd">
                    <a:solidFill>
                      <a:schemeClr val="accent1"/>
                    </a:solidFill>
                    <a:round/>
                  </a:ln>
                  <a:effectLst/>
                </c:spPr>
                <c:marker>
                  <c:symbol val="none"/>
                </c:marker>
                <c:cat>
                  <c:numRef>
                    <c:extLst>
                      <c:ext uri="{02D57815-91ED-43cb-92C2-25804820EDAC}">
                        <c15:formulaRef>
                          <c15:sqref>Sheet1!$A$58:$A$102</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c:ext uri="{02D57815-91ED-43cb-92C2-25804820EDAC}">
                        <c15:formulaRef>
                          <c15:sqref>Sheet1!$B$58:$B$102</c15:sqref>
                        </c15:formulaRef>
                      </c:ext>
                    </c:extLst>
                    <c:numCache>
                      <c:formatCode>General</c:formatCode>
                      <c:ptCount val="45"/>
                      <c:pt idx="0">
                        <c:v>6.2</c:v>
                      </c:pt>
                      <c:pt idx="1">
                        <c:v>5.3</c:v>
                      </c:pt>
                      <c:pt idx="2">
                        <c:v>3.3</c:v>
                      </c:pt>
                      <c:pt idx="3">
                        <c:v>3.6</c:v>
                      </c:pt>
                      <c:pt idx="4">
                        <c:v>9.4</c:v>
                      </c:pt>
                      <c:pt idx="5">
                        <c:v>11.8</c:v>
                      </c:pt>
                      <c:pt idx="6">
                        <c:v>6.7</c:v>
                      </c:pt>
                      <c:pt idx="7">
                        <c:v>5.2</c:v>
                      </c:pt>
                      <c:pt idx="8">
                        <c:v>6.8</c:v>
                      </c:pt>
                      <c:pt idx="9">
                        <c:v>9.3000000000000007</c:v>
                      </c:pt>
                      <c:pt idx="10">
                        <c:v>13.9</c:v>
                      </c:pt>
                      <c:pt idx="11">
                        <c:v>11.8</c:v>
                      </c:pt>
                      <c:pt idx="12">
                        <c:v>8.4</c:v>
                      </c:pt>
                      <c:pt idx="13">
                        <c:v>3.7</c:v>
                      </c:pt>
                      <c:pt idx="14">
                        <c:v>4.2</c:v>
                      </c:pt>
                      <c:pt idx="15">
                        <c:v>3.5</c:v>
                      </c:pt>
                      <c:pt idx="16">
                        <c:v>3.9</c:v>
                      </c:pt>
                      <c:pt idx="17">
                        <c:v>1.5</c:v>
                      </c:pt>
                      <c:pt idx="18">
                        <c:v>4</c:v>
                      </c:pt>
                      <c:pt idx="19">
                        <c:v>4.7</c:v>
                      </c:pt>
                      <c:pt idx="20">
                        <c:v>5.2</c:v>
                      </c:pt>
                      <c:pt idx="21">
                        <c:v>5.7</c:v>
                      </c:pt>
                      <c:pt idx="22">
                        <c:v>2.6</c:v>
                      </c:pt>
                      <c:pt idx="23">
                        <c:v>3.3</c:v>
                      </c:pt>
                      <c:pt idx="24">
                        <c:v>2.5</c:v>
                      </c:pt>
                      <c:pt idx="25">
                        <c:v>2.8</c:v>
                      </c:pt>
                      <c:pt idx="26">
                        <c:v>2.7</c:v>
                      </c:pt>
                      <c:pt idx="27">
                        <c:v>3</c:v>
                      </c:pt>
                      <c:pt idx="28">
                        <c:v>1.6</c:v>
                      </c:pt>
                      <c:pt idx="29">
                        <c:v>1.7</c:v>
                      </c:pt>
                      <c:pt idx="30">
                        <c:v>2.7</c:v>
                      </c:pt>
                      <c:pt idx="31">
                        <c:v>3.7</c:v>
                      </c:pt>
                      <c:pt idx="32">
                        <c:v>1.1000000000000001</c:v>
                      </c:pt>
                      <c:pt idx="33">
                        <c:v>2.6</c:v>
                      </c:pt>
                      <c:pt idx="34">
                        <c:v>1.9</c:v>
                      </c:pt>
                      <c:pt idx="35">
                        <c:v>3</c:v>
                      </c:pt>
                      <c:pt idx="36">
                        <c:v>4</c:v>
                      </c:pt>
                      <c:pt idx="37">
                        <c:v>2.1</c:v>
                      </c:pt>
                      <c:pt idx="38">
                        <c:v>4.3</c:v>
                      </c:pt>
                      <c:pt idx="39">
                        <c:v>0</c:v>
                      </c:pt>
                      <c:pt idx="40">
                        <c:v>2.6</c:v>
                      </c:pt>
                      <c:pt idx="41">
                        <c:v>1.6</c:v>
                      </c:pt>
                      <c:pt idx="42">
                        <c:v>2.9</c:v>
                      </c:pt>
                      <c:pt idx="43">
                        <c:v>1.6</c:v>
                      </c:pt>
                      <c:pt idx="44">
                        <c:v>1.6</c:v>
                      </c:pt>
                    </c:numCache>
                  </c:numRef>
                </c:val>
                <c:smooth val="0"/>
              </c15:ser>
            </c15:filteredLineSeries>
            <c15:filteredLineSeries>
              <c15:ser>
                <c:idx val="1"/>
                <c:order val="1"/>
                <c:spPr>
                  <a:ln w="28575" cap="rnd">
                    <a:solidFill>
                      <a:schemeClr val="accent2"/>
                    </a:solidFill>
                    <a:round/>
                  </a:ln>
                  <a:effectLst/>
                </c:spPr>
                <c:marker>
                  <c:symbol val="none"/>
                </c:marker>
                <c:cat>
                  <c:numRef>
                    <c:extLst xmlns:c15="http://schemas.microsoft.com/office/drawing/2012/chart">
                      <c:ext xmlns:c15="http://schemas.microsoft.com/office/drawing/2012/chart" uri="{02D57815-91ED-43cb-92C2-25804820EDAC}">
                        <c15:formulaRef>
                          <c15:sqref>Sheet1!$A$58:$A$102</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xmlns:c15="http://schemas.microsoft.com/office/drawing/2012/chart">
                      <c:ext xmlns:c15="http://schemas.microsoft.com/office/drawing/2012/chart" uri="{02D57815-91ED-43cb-92C2-25804820EDAC}">
                        <c15:formulaRef>
                          <c15:sqref>Sheet1!$C$58:$C$102</c15:sqref>
                        </c15:formulaRef>
                      </c:ext>
                    </c:extLst>
                    <c:numCache>
                      <c:formatCode>General</c:formatCode>
                      <c:ptCount val="45"/>
                      <c:pt idx="0">
                        <c:v>6.1</c:v>
                      </c:pt>
                      <c:pt idx="1">
                        <c:v>5</c:v>
                      </c:pt>
                      <c:pt idx="2">
                        <c:v>3.5</c:v>
                      </c:pt>
                      <c:pt idx="3">
                        <c:v>3.9</c:v>
                      </c:pt>
                      <c:pt idx="4">
                        <c:v>10</c:v>
                      </c:pt>
                      <c:pt idx="5">
                        <c:v>11.2</c:v>
                      </c:pt>
                      <c:pt idx="6">
                        <c:v>6.3</c:v>
                      </c:pt>
                      <c:pt idx="7">
                        <c:v>5.9</c:v>
                      </c:pt>
                      <c:pt idx="8">
                        <c:v>6.4</c:v>
                      </c:pt>
                      <c:pt idx="9">
                        <c:v>9.9</c:v>
                      </c:pt>
                      <c:pt idx="10">
                        <c:v>14.2</c:v>
                      </c:pt>
                      <c:pt idx="11">
                        <c:v>11.4</c:v>
                      </c:pt>
                      <c:pt idx="12">
                        <c:v>7.6</c:v>
                      </c:pt>
                      <c:pt idx="13">
                        <c:v>3.5</c:v>
                      </c:pt>
                      <c:pt idx="14">
                        <c:v>4.5999999999999996</c:v>
                      </c:pt>
                      <c:pt idx="15">
                        <c:v>3.5</c:v>
                      </c:pt>
                      <c:pt idx="16">
                        <c:v>3.1</c:v>
                      </c:pt>
                      <c:pt idx="17">
                        <c:v>2.1</c:v>
                      </c:pt>
                      <c:pt idx="18">
                        <c:v>3.9</c:v>
                      </c:pt>
                      <c:pt idx="19">
                        <c:v>4.8</c:v>
                      </c:pt>
                      <c:pt idx="20">
                        <c:v>5.3</c:v>
                      </c:pt>
                      <c:pt idx="21">
                        <c:v>5.3</c:v>
                      </c:pt>
                      <c:pt idx="22">
                        <c:v>2.8</c:v>
                      </c:pt>
                      <c:pt idx="23">
                        <c:v>3.2</c:v>
                      </c:pt>
                      <c:pt idx="24">
                        <c:v>2.5</c:v>
                      </c:pt>
                      <c:pt idx="25">
                        <c:v>2.9</c:v>
                      </c:pt>
                      <c:pt idx="26">
                        <c:v>2.7</c:v>
                      </c:pt>
                      <c:pt idx="27">
                        <c:v>3</c:v>
                      </c:pt>
                      <c:pt idx="28">
                        <c:v>1.4</c:v>
                      </c:pt>
                      <c:pt idx="29">
                        <c:v>1.6</c:v>
                      </c:pt>
                      <c:pt idx="30">
                        <c:v>3.2</c:v>
                      </c:pt>
                      <c:pt idx="31">
                        <c:v>3.5</c:v>
                      </c:pt>
                      <c:pt idx="32">
                        <c:v>1.1000000000000001</c:v>
                      </c:pt>
                      <c:pt idx="33">
                        <c:v>3</c:v>
                      </c:pt>
                      <c:pt idx="34">
                        <c:v>1.7</c:v>
                      </c:pt>
                      <c:pt idx="35">
                        <c:v>3</c:v>
                      </c:pt>
                      <c:pt idx="36">
                        <c:v>3.6</c:v>
                      </c:pt>
                      <c:pt idx="37">
                        <c:v>2.4</c:v>
                      </c:pt>
                      <c:pt idx="38">
                        <c:v>4</c:v>
                      </c:pt>
                      <c:pt idx="39">
                        <c:v>0.2</c:v>
                      </c:pt>
                      <c:pt idx="40">
                        <c:v>2.1</c:v>
                      </c:pt>
                      <c:pt idx="41">
                        <c:v>2.1</c:v>
                      </c:pt>
                      <c:pt idx="42">
                        <c:v>2.9</c:v>
                      </c:pt>
                      <c:pt idx="43">
                        <c:v>2</c:v>
                      </c:pt>
                      <c:pt idx="44">
                        <c:v>1.1000000000000001</c:v>
                      </c:pt>
                    </c:numCache>
                  </c:numRef>
                </c:val>
                <c:smooth val="0"/>
              </c15:ser>
            </c15:filteredLineSeries>
            <c15:filteredLineSeries>
              <c15:ser>
                <c:idx val="2"/>
                <c:order val="2"/>
                <c:spPr>
                  <a:ln w="28575" cap="rnd">
                    <a:solidFill>
                      <a:schemeClr val="accent3"/>
                    </a:solidFill>
                    <a:round/>
                  </a:ln>
                  <a:effectLst/>
                </c:spPr>
                <c:marker>
                  <c:symbol val="none"/>
                </c:marker>
                <c:cat>
                  <c:numRef>
                    <c:extLst xmlns:c15="http://schemas.microsoft.com/office/drawing/2012/chart">
                      <c:ext xmlns:c15="http://schemas.microsoft.com/office/drawing/2012/chart" uri="{02D57815-91ED-43cb-92C2-25804820EDAC}">
                        <c15:formulaRef>
                          <c15:sqref>Sheet1!$A$58:$A$102</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xmlns:c15="http://schemas.microsoft.com/office/drawing/2012/chart">
                      <c:ext xmlns:c15="http://schemas.microsoft.com/office/drawing/2012/chart" uri="{02D57815-91ED-43cb-92C2-25804820EDAC}">
                        <c15:formulaRef>
                          <c15:sqref>Sheet1!$D$58:$D$102</c15:sqref>
                        </c15:formulaRef>
                      </c:ext>
                    </c:extLst>
                    <c:numCache>
                      <c:formatCode>General</c:formatCode>
                      <c:ptCount val="45"/>
                      <c:pt idx="0">
                        <c:v>5.8</c:v>
                      </c:pt>
                      <c:pt idx="1">
                        <c:v>4.7</c:v>
                      </c:pt>
                      <c:pt idx="2">
                        <c:v>3.5</c:v>
                      </c:pt>
                      <c:pt idx="3">
                        <c:v>4.5999999999999996</c:v>
                      </c:pt>
                      <c:pt idx="4">
                        <c:v>10.4</c:v>
                      </c:pt>
                      <c:pt idx="5">
                        <c:v>10.3</c:v>
                      </c:pt>
                      <c:pt idx="6">
                        <c:v>6.1</c:v>
                      </c:pt>
                      <c:pt idx="7">
                        <c:v>6.4</c:v>
                      </c:pt>
                      <c:pt idx="8">
                        <c:v>6.6</c:v>
                      </c:pt>
                      <c:pt idx="9">
                        <c:v>10.1</c:v>
                      </c:pt>
                      <c:pt idx="10">
                        <c:v>14.8</c:v>
                      </c:pt>
                      <c:pt idx="11">
                        <c:v>10.5</c:v>
                      </c:pt>
                      <c:pt idx="12">
                        <c:v>6.8</c:v>
                      </c:pt>
                      <c:pt idx="13">
                        <c:v>3.6</c:v>
                      </c:pt>
                      <c:pt idx="14">
                        <c:v>4.8</c:v>
                      </c:pt>
                      <c:pt idx="15">
                        <c:v>3.7</c:v>
                      </c:pt>
                      <c:pt idx="16">
                        <c:v>2.2999999999999998</c:v>
                      </c:pt>
                      <c:pt idx="17">
                        <c:v>3</c:v>
                      </c:pt>
                      <c:pt idx="18">
                        <c:v>3.9</c:v>
                      </c:pt>
                      <c:pt idx="19">
                        <c:v>5</c:v>
                      </c:pt>
                      <c:pt idx="20">
                        <c:v>5.2</c:v>
                      </c:pt>
                      <c:pt idx="21">
                        <c:v>4.9000000000000004</c:v>
                      </c:pt>
                      <c:pt idx="22">
                        <c:v>3.2</c:v>
                      </c:pt>
                      <c:pt idx="23">
                        <c:v>3.1</c:v>
                      </c:pt>
                      <c:pt idx="24">
                        <c:v>2.5</c:v>
                      </c:pt>
                      <c:pt idx="25">
                        <c:v>2.9</c:v>
                      </c:pt>
                      <c:pt idx="26">
                        <c:v>2.8</c:v>
                      </c:pt>
                      <c:pt idx="27">
                        <c:v>2.8</c:v>
                      </c:pt>
                      <c:pt idx="28">
                        <c:v>1.4</c:v>
                      </c:pt>
                      <c:pt idx="29">
                        <c:v>1.7</c:v>
                      </c:pt>
                      <c:pt idx="30">
                        <c:v>3.8</c:v>
                      </c:pt>
                      <c:pt idx="31">
                        <c:v>2.9</c:v>
                      </c:pt>
                      <c:pt idx="32">
                        <c:v>1.5</c:v>
                      </c:pt>
                      <c:pt idx="33">
                        <c:v>3</c:v>
                      </c:pt>
                      <c:pt idx="34">
                        <c:v>1.7</c:v>
                      </c:pt>
                      <c:pt idx="35">
                        <c:v>3.1</c:v>
                      </c:pt>
                      <c:pt idx="36">
                        <c:v>3.4</c:v>
                      </c:pt>
                      <c:pt idx="37">
                        <c:v>2.8</c:v>
                      </c:pt>
                      <c:pt idx="38">
                        <c:v>4</c:v>
                      </c:pt>
                      <c:pt idx="39">
                        <c:v>-0.4</c:v>
                      </c:pt>
                      <c:pt idx="40">
                        <c:v>2.2999999999999998</c:v>
                      </c:pt>
                      <c:pt idx="41">
                        <c:v>2.7</c:v>
                      </c:pt>
                      <c:pt idx="42">
                        <c:v>2.7</c:v>
                      </c:pt>
                      <c:pt idx="43">
                        <c:v>1.5</c:v>
                      </c:pt>
                      <c:pt idx="44">
                        <c:v>1.5</c:v>
                      </c:pt>
                    </c:numCache>
                  </c:numRef>
                </c:val>
                <c:smooth val="0"/>
              </c15:ser>
            </c15:filteredLineSeries>
            <c15:filteredLineSeries>
              <c15:ser>
                <c:idx val="3"/>
                <c:order val="3"/>
                <c:spPr>
                  <a:ln w="28575" cap="rnd">
                    <a:solidFill>
                      <a:schemeClr val="accent4"/>
                    </a:solidFill>
                    <a:round/>
                  </a:ln>
                  <a:effectLst/>
                </c:spPr>
                <c:marker>
                  <c:symbol val="none"/>
                </c:marker>
                <c:cat>
                  <c:numRef>
                    <c:extLst xmlns:c15="http://schemas.microsoft.com/office/drawing/2012/chart">
                      <c:ext xmlns:c15="http://schemas.microsoft.com/office/drawing/2012/chart" uri="{02D57815-91ED-43cb-92C2-25804820EDAC}">
                        <c15:formulaRef>
                          <c15:sqref>Sheet1!$A$58:$A$102</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xmlns:c15="http://schemas.microsoft.com/office/drawing/2012/chart">
                      <c:ext xmlns:c15="http://schemas.microsoft.com/office/drawing/2012/chart" uri="{02D57815-91ED-43cb-92C2-25804820EDAC}">
                        <c15:formulaRef>
                          <c15:sqref>Sheet1!$E$58:$E$102</c15:sqref>
                        </c15:formulaRef>
                      </c:ext>
                    </c:extLst>
                    <c:numCache>
                      <c:formatCode>General</c:formatCode>
                      <c:ptCount val="45"/>
                      <c:pt idx="0">
                        <c:v>6.1</c:v>
                      </c:pt>
                      <c:pt idx="1">
                        <c:v>4.2</c:v>
                      </c:pt>
                      <c:pt idx="2">
                        <c:v>3.5</c:v>
                      </c:pt>
                      <c:pt idx="3">
                        <c:v>5.0999999999999996</c:v>
                      </c:pt>
                      <c:pt idx="4">
                        <c:v>10.1</c:v>
                      </c:pt>
                      <c:pt idx="5">
                        <c:v>10.199999999999999</c:v>
                      </c:pt>
                      <c:pt idx="6">
                        <c:v>6</c:v>
                      </c:pt>
                      <c:pt idx="7">
                        <c:v>7</c:v>
                      </c:pt>
                      <c:pt idx="8">
                        <c:v>6.5</c:v>
                      </c:pt>
                      <c:pt idx="9">
                        <c:v>10.5</c:v>
                      </c:pt>
                      <c:pt idx="10">
                        <c:v>14.7</c:v>
                      </c:pt>
                      <c:pt idx="11">
                        <c:v>10</c:v>
                      </c:pt>
                      <c:pt idx="12">
                        <c:v>6.5</c:v>
                      </c:pt>
                      <c:pt idx="13">
                        <c:v>3.9</c:v>
                      </c:pt>
                      <c:pt idx="14">
                        <c:v>4.5999999999999996</c:v>
                      </c:pt>
                      <c:pt idx="15">
                        <c:v>3.7</c:v>
                      </c:pt>
                      <c:pt idx="16">
                        <c:v>1.6</c:v>
                      </c:pt>
                      <c:pt idx="17">
                        <c:v>3.8</c:v>
                      </c:pt>
                      <c:pt idx="18">
                        <c:v>3.9</c:v>
                      </c:pt>
                      <c:pt idx="19">
                        <c:v>5.0999999999999996</c:v>
                      </c:pt>
                      <c:pt idx="20">
                        <c:v>4.7</c:v>
                      </c:pt>
                      <c:pt idx="21">
                        <c:v>4.9000000000000004</c:v>
                      </c:pt>
                      <c:pt idx="22">
                        <c:v>3.2</c:v>
                      </c:pt>
                      <c:pt idx="23">
                        <c:v>3.2</c:v>
                      </c:pt>
                      <c:pt idx="24">
                        <c:v>2.4</c:v>
                      </c:pt>
                      <c:pt idx="25">
                        <c:v>3.1</c:v>
                      </c:pt>
                      <c:pt idx="26">
                        <c:v>2.9</c:v>
                      </c:pt>
                      <c:pt idx="27">
                        <c:v>2.5</c:v>
                      </c:pt>
                      <c:pt idx="28">
                        <c:v>1.4</c:v>
                      </c:pt>
                      <c:pt idx="29">
                        <c:v>2.2999999999999998</c:v>
                      </c:pt>
                      <c:pt idx="30">
                        <c:v>3.1</c:v>
                      </c:pt>
                      <c:pt idx="31">
                        <c:v>3.3</c:v>
                      </c:pt>
                      <c:pt idx="32">
                        <c:v>1.6</c:v>
                      </c:pt>
                      <c:pt idx="33">
                        <c:v>2.2000000000000002</c:v>
                      </c:pt>
                      <c:pt idx="34">
                        <c:v>2.2999999999999998</c:v>
                      </c:pt>
                      <c:pt idx="35">
                        <c:v>3.5</c:v>
                      </c:pt>
                      <c:pt idx="36">
                        <c:v>3.5</c:v>
                      </c:pt>
                      <c:pt idx="37">
                        <c:v>2.6</c:v>
                      </c:pt>
                      <c:pt idx="38">
                        <c:v>3.9</c:v>
                      </c:pt>
                      <c:pt idx="39">
                        <c:v>-0.7</c:v>
                      </c:pt>
                      <c:pt idx="40">
                        <c:v>2.2000000000000002</c:v>
                      </c:pt>
                      <c:pt idx="41">
                        <c:v>3.2</c:v>
                      </c:pt>
                      <c:pt idx="42">
                        <c:v>2.2999999999999998</c:v>
                      </c:pt>
                      <c:pt idx="43">
                        <c:v>1.1000000000000001</c:v>
                      </c:pt>
                      <c:pt idx="44">
                        <c:v>2</c:v>
                      </c:pt>
                    </c:numCache>
                  </c:numRef>
                </c:val>
                <c:smooth val="0"/>
              </c15:ser>
            </c15:filteredLineSeries>
            <c15:filteredLineSeries>
              <c15:ser>
                <c:idx val="4"/>
                <c:order val="4"/>
                <c:spPr>
                  <a:ln w="28575" cap="rnd">
                    <a:solidFill>
                      <a:schemeClr val="accent5"/>
                    </a:solidFill>
                    <a:round/>
                  </a:ln>
                  <a:effectLst/>
                </c:spPr>
                <c:marker>
                  <c:symbol val="none"/>
                </c:marker>
                <c:cat>
                  <c:numRef>
                    <c:extLst xmlns:c15="http://schemas.microsoft.com/office/drawing/2012/chart">
                      <c:ext xmlns:c15="http://schemas.microsoft.com/office/drawing/2012/chart" uri="{02D57815-91ED-43cb-92C2-25804820EDAC}">
                        <c15:formulaRef>
                          <c15:sqref>Sheet1!$A$58:$A$102</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xmlns:c15="http://schemas.microsoft.com/office/drawing/2012/chart">
                      <c:ext xmlns:c15="http://schemas.microsoft.com/office/drawing/2012/chart" uri="{02D57815-91ED-43cb-92C2-25804820EDAC}">
                        <c15:formulaRef>
                          <c15:sqref>Sheet1!$F$58:$F$102</c15:sqref>
                        </c15:formulaRef>
                      </c:ext>
                    </c:extLst>
                    <c:numCache>
                      <c:formatCode>General</c:formatCode>
                      <c:ptCount val="45"/>
                      <c:pt idx="0">
                        <c:v>6</c:v>
                      </c:pt>
                      <c:pt idx="1">
                        <c:v>4.4000000000000004</c:v>
                      </c:pt>
                      <c:pt idx="2">
                        <c:v>3.2</c:v>
                      </c:pt>
                      <c:pt idx="3">
                        <c:v>5.5</c:v>
                      </c:pt>
                      <c:pt idx="4">
                        <c:v>10.7</c:v>
                      </c:pt>
                      <c:pt idx="5">
                        <c:v>9.5</c:v>
                      </c:pt>
                      <c:pt idx="6">
                        <c:v>6.2</c:v>
                      </c:pt>
                      <c:pt idx="7">
                        <c:v>6.7</c:v>
                      </c:pt>
                      <c:pt idx="8">
                        <c:v>7</c:v>
                      </c:pt>
                      <c:pt idx="9">
                        <c:v>10.9</c:v>
                      </c:pt>
                      <c:pt idx="10">
                        <c:v>14.4</c:v>
                      </c:pt>
                      <c:pt idx="11">
                        <c:v>9.8000000000000007</c:v>
                      </c:pt>
                      <c:pt idx="12">
                        <c:v>6.7</c:v>
                      </c:pt>
                      <c:pt idx="13">
                        <c:v>3.5</c:v>
                      </c:pt>
                      <c:pt idx="14">
                        <c:v>4.2</c:v>
                      </c:pt>
                      <c:pt idx="15">
                        <c:v>3.8</c:v>
                      </c:pt>
                      <c:pt idx="16">
                        <c:v>1.5</c:v>
                      </c:pt>
                      <c:pt idx="17">
                        <c:v>3.9</c:v>
                      </c:pt>
                      <c:pt idx="18">
                        <c:v>3.9</c:v>
                      </c:pt>
                      <c:pt idx="19">
                        <c:v>5.4</c:v>
                      </c:pt>
                      <c:pt idx="20">
                        <c:v>4.4000000000000004</c:v>
                      </c:pt>
                      <c:pt idx="21">
                        <c:v>5</c:v>
                      </c:pt>
                      <c:pt idx="22">
                        <c:v>3</c:v>
                      </c:pt>
                      <c:pt idx="23">
                        <c:v>3.2</c:v>
                      </c:pt>
                      <c:pt idx="24">
                        <c:v>2.2999999999999998</c:v>
                      </c:pt>
                      <c:pt idx="25">
                        <c:v>3.2</c:v>
                      </c:pt>
                      <c:pt idx="26">
                        <c:v>2.9</c:v>
                      </c:pt>
                      <c:pt idx="27">
                        <c:v>2.2000000000000002</c:v>
                      </c:pt>
                      <c:pt idx="28">
                        <c:v>1.7</c:v>
                      </c:pt>
                      <c:pt idx="29">
                        <c:v>2.1</c:v>
                      </c:pt>
                      <c:pt idx="30">
                        <c:v>3.2</c:v>
                      </c:pt>
                      <c:pt idx="31">
                        <c:v>3.6</c:v>
                      </c:pt>
                      <c:pt idx="32">
                        <c:v>1.2</c:v>
                      </c:pt>
                      <c:pt idx="33">
                        <c:v>2.1</c:v>
                      </c:pt>
                      <c:pt idx="34">
                        <c:v>3.1</c:v>
                      </c:pt>
                      <c:pt idx="35">
                        <c:v>2.8</c:v>
                      </c:pt>
                      <c:pt idx="36">
                        <c:v>4.2</c:v>
                      </c:pt>
                      <c:pt idx="37">
                        <c:v>2.7</c:v>
                      </c:pt>
                      <c:pt idx="38">
                        <c:v>4.2</c:v>
                      </c:pt>
                      <c:pt idx="39">
                        <c:v>-1.3</c:v>
                      </c:pt>
                      <c:pt idx="40">
                        <c:v>2</c:v>
                      </c:pt>
                      <c:pt idx="41">
                        <c:v>3.6</c:v>
                      </c:pt>
                      <c:pt idx="42">
                        <c:v>1.7</c:v>
                      </c:pt>
                      <c:pt idx="43">
                        <c:v>1.4</c:v>
                      </c:pt>
                      <c:pt idx="44">
                        <c:v>2.1</c:v>
                      </c:pt>
                    </c:numCache>
                  </c:numRef>
                </c:val>
                <c:smooth val="0"/>
              </c15:ser>
            </c15:filteredLineSeries>
            <c15:filteredLineSeries>
              <c15:ser>
                <c:idx val="5"/>
                <c:order val="5"/>
                <c:spPr>
                  <a:ln w="28575" cap="rnd">
                    <a:solidFill>
                      <a:schemeClr val="accent6"/>
                    </a:solidFill>
                    <a:round/>
                  </a:ln>
                  <a:effectLst/>
                </c:spPr>
                <c:marker>
                  <c:symbol val="none"/>
                </c:marker>
                <c:cat>
                  <c:numRef>
                    <c:extLst xmlns:c15="http://schemas.microsoft.com/office/drawing/2012/chart">
                      <c:ext xmlns:c15="http://schemas.microsoft.com/office/drawing/2012/chart" uri="{02D57815-91ED-43cb-92C2-25804820EDAC}">
                        <c15:formulaRef>
                          <c15:sqref>Sheet1!$A$58:$A$102</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xmlns:c15="http://schemas.microsoft.com/office/drawing/2012/chart">
                      <c:ext xmlns:c15="http://schemas.microsoft.com/office/drawing/2012/chart" uri="{02D57815-91ED-43cb-92C2-25804820EDAC}">
                        <c15:formulaRef>
                          <c15:sqref>Sheet1!$G$58:$G$102</c15:sqref>
                        </c15:formulaRef>
                      </c:ext>
                    </c:extLst>
                    <c:numCache>
                      <c:formatCode>General</c:formatCode>
                      <c:ptCount val="45"/>
                      <c:pt idx="0">
                        <c:v>6</c:v>
                      </c:pt>
                      <c:pt idx="1">
                        <c:v>4.5999999999999996</c:v>
                      </c:pt>
                      <c:pt idx="2">
                        <c:v>2.7</c:v>
                      </c:pt>
                      <c:pt idx="3">
                        <c:v>6</c:v>
                      </c:pt>
                      <c:pt idx="4">
                        <c:v>10.9</c:v>
                      </c:pt>
                      <c:pt idx="5">
                        <c:v>9.4</c:v>
                      </c:pt>
                      <c:pt idx="6">
                        <c:v>6</c:v>
                      </c:pt>
                      <c:pt idx="7">
                        <c:v>6.9</c:v>
                      </c:pt>
                      <c:pt idx="8">
                        <c:v>7.4</c:v>
                      </c:pt>
                      <c:pt idx="9">
                        <c:v>10.9</c:v>
                      </c:pt>
                      <c:pt idx="10">
                        <c:v>14.4</c:v>
                      </c:pt>
                      <c:pt idx="11">
                        <c:v>9.6</c:v>
                      </c:pt>
                      <c:pt idx="12">
                        <c:v>7.1</c:v>
                      </c:pt>
                      <c:pt idx="13">
                        <c:v>2.6</c:v>
                      </c:pt>
                      <c:pt idx="14">
                        <c:v>4.2</c:v>
                      </c:pt>
                      <c:pt idx="15">
                        <c:v>3.8</c:v>
                      </c:pt>
                      <c:pt idx="16">
                        <c:v>1.8</c:v>
                      </c:pt>
                      <c:pt idx="17">
                        <c:v>3.7</c:v>
                      </c:pt>
                      <c:pt idx="18">
                        <c:v>4</c:v>
                      </c:pt>
                      <c:pt idx="19">
                        <c:v>5.2</c:v>
                      </c:pt>
                      <c:pt idx="20">
                        <c:v>4.7</c:v>
                      </c:pt>
                      <c:pt idx="21">
                        <c:v>4.7</c:v>
                      </c:pt>
                      <c:pt idx="22">
                        <c:v>3.1</c:v>
                      </c:pt>
                      <c:pt idx="23">
                        <c:v>3</c:v>
                      </c:pt>
                      <c:pt idx="24">
                        <c:v>2.5</c:v>
                      </c:pt>
                      <c:pt idx="25">
                        <c:v>3</c:v>
                      </c:pt>
                      <c:pt idx="26">
                        <c:v>2.8</c:v>
                      </c:pt>
                      <c:pt idx="27">
                        <c:v>2.2999999999999998</c:v>
                      </c:pt>
                      <c:pt idx="28">
                        <c:v>1.7</c:v>
                      </c:pt>
                      <c:pt idx="29">
                        <c:v>2</c:v>
                      </c:pt>
                      <c:pt idx="30">
                        <c:v>3.7</c:v>
                      </c:pt>
                      <c:pt idx="31">
                        <c:v>3.2</c:v>
                      </c:pt>
                      <c:pt idx="32">
                        <c:v>1.1000000000000001</c:v>
                      </c:pt>
                      <c:pt idx="33">
                        <c:v>2.1</c:v>
                      </c:pt>
                      <c:pt idx="34">
                        <c:v>3.3</c:v>
                      </c:pt>
                      <c:pt idx="35">
                        <c:v>2.5</c:v>
                      </c:pt>
                      <c:pt idx="36">
                        <c:v>4.3</c:v>
                      </c:pt>
                      <c:pt idx="37">
                        <c:v>2.7</c:v>
                      </c:pt>
                      <c:pt idx="38">
                        <c:v>5</c:v>
                      </c:pt>
                      <c:pt idx="39">
                        <c:v>-1.4</c:v>
                      </c:pt>
                      <c:pt idx="40">
                        <c:v>1.1000000000000001</c:v>
                      </c:pt>
                      <c:pt idx="41">
                        <c:v>3.6</c:v>
                      </c:pt>
                      <c:pt idx="42">
                        <c:v>1.7</c:v>
                      </c:pt>
                      <c:pt idx="43">
                        <c:v>1.8</c:v>
                      </c:pt>
                      <c:pt idx="44">
                        <c:v>2.1</c:v>
                      </c:pt>
                    </c:numCache>
                  </c:numRef>
                </c:val>
                <c:smooth val="0"/>
              </c15:ser>
            </c15:filteredLineSeries>
            <c15:filteredLineSeries>
              <c15:ser>
                <c:idx val="6"/>
                <c:order val="6"/>
                <c:spPr>
                  <a:ln w="28575" cap="rnd">
                    <a:solidFill>
                      <a:schemeClr val="accent1">
                        <a:lumMod val="60000"/>
                      </a:schemeClr>
                    </a:solidFill>
                    <a:round/>
                  </a:ln>
                  <a:effectLst/>
                </c:spPr>
                <c:marker>
                  <c:symbol val="none"/>
                </c:marker>
                <c:cat>
                  <c:numRef>
                    <c:extLst xmlns:c15="http://schemas.microsoft.com/office/drawing/2012/chart">
                      <c:ext xmlns:c15="http://schemas.microsoft.com/office/drawing/2012/chart" uri="{02D57815-91ED-43cb-92C2-25804820EDAC}">
                        <c15:formulaRef>
                          <c15:sqref>Sheet1!$A$58:$A$102</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xmlns:c15="http://schemas.microsoft.com/office/drawing/2012/chart">
                      <c:ext xmlns:c15="http://schemas.microsoft.com/office/drawing/2012/chart" uri="{02D57815-91ED-43cb-92C2-25804820EDAC}">
                        <c15:formulaRef>
                          <c15:sqref>Sheet1!$H$58:$H$102</c15:sqref>
                        </c15:formulaRef>
                      </c:ext>
                    </c:extLst>
                    <c:numCache>
                      <c:formatCode>General</c:formatCode>
                      <c:ptCount val="45"/>
                      <c:pt idx="0">
                        <c:v>6</c:v>
                      </c:pt>
                      <c:pt idx="1">
                        <c:v>4.4000000000000004</c:v>
                      </c:pt>
                      <c:pt idx="2">
                        <c:v>2.9</c:v>
                      </c:pt>
                      <c:pt idx="3">
                        <c:v>5.7</c:v>
                      </c:pt>
                      <c:pt idx="4">
                        <c:v>11.5</c:v>
                      </c:pt>
                      <c:pt idx="5">
                        <c:v>9.6999999999999993</c:v>
                      </c:pt>
                      <c:pt idx="6">
                        <c:v>5.4</c:v>
                      </c:pt>
                      <c:pt idx="7">
                        <c:v>6.8</c:v>
                      </c:pt>
                      <c:pt idx="8">
                        <c:v>7.7</c:v>
                      </c:pt>
                      <c:pt idx="9">
                        <c:v>11.3</c:v>
                      </c:pt>
                      <c:pt idx="10">
                        <c:v>13.1</c:v>
                      </c:pt>
                      <c:pt idx="11">
                        <c:v>10.8</c:v>
                      </c:pt>
                      <c:pt idx="12">
                        <c:v>6.4</c:v>
                      </c:pt>
                      <c:pt idx="13">
                        <c:v>2.5</c:v>
                      </c:pt>
                      <c:pt idx="14">
                        <c:v>4.2</c:v>
                      </c:pt>
                      <c:pt idx="15">
                        <c:v>3.6</c:v>
                      </c:pt>
                      <c:pt idx="16">
                        <c:v>1.6</c:v>
                      </c:pt>
                      <c:pt idx="17">
                        <c:v>3.9</c:v>
                      </c:pt>
                      <c:pt idx="18">
                        <c:v>4.0999999999999996</c:v>
                      </c:pt>
                      <c:pt idx="19">
                        <c:v>5</c:v>
                      </c:pt>
                      <c:pt idx="20">
                        <c:v>4.8</c:v>
                      </c:pt>
                      <c:pt idx="21">
                        <c:v>4.4000000000000004</c:v>
                      </c:pt>
                      <c:pt idx="22">
                        <c:v>3.2</c:v>
                      </c:pt>
                      <c:pt idx="23">
                        <c:v>2.8</c:v>
                      </c:pt>
                      <c:pt idx="24">
                        <c:v>2.8</c:v>
                      </c:pt>
                      <c:pt idx="25">
                        <c:v>2.8</c:v>
                      </c:pt>
                      <c:pt idx="26">
                        <c:v>3</c:v>
                      </c:pt>
                      <c:pt idx="27">
                        <c:v>2.2000000000000002</c:v>
                      </c:pt>
                      <c:pt idx="28">
                        <c:v>1.7</c:v>
                      </c:pt>
                      <c:pt idx="29">
                        <c:v>2.1</c:v>
                      </c:pt>
                      <c:pt idx="30">
                        <c:v>3.7</c:v>
                      </c:pt>
                      <c:pt idx="31">
                        <c:v>2.7</c:v>
                      </c:pt>
                      <c:pt idx="32">
                        <c:v>1.5</c:v>
                      </c:pt>
                      <c:pt idx="33">
                        <c:v>2.1</c:v>
                      </c:pt>
                      <c:pt idx="34">
                        <c:v>3</c:v>
                      </c:pt>
                      <c:pt idx="35">
                        <c:v>3.2</c:v>
                      </c:pt>
                      <c:pt idx="36">
                        <c:v>4.0999999999999996</c:v>
                      </c:pt>
                      <c:pt idx="37">
                        <c:v>2.4</c:v>
                      </c:pt>
                      <c:pt idx="38">
                        <c:v>5.6</c:v>
                      </c:pt>
                      <c:pt idx="39">
                        <c:v>-2.1</c:v>
                      </c:pt>
                      <c:pt idx="40">
                        <c:v>1.2</c:v>
                      </c:pt>
                      <c:pt idx="41">
                        <c:v>3.6</c:v>
                      </c:pt>
                      <c:pt idx="42">
                        <c:v>1.4</c:v>
                      </c:pt>
                      <c:pt idx="43">
                        <c:v>2</c:v>
                      </c:pt>
                      <c:pt idx="44">
                        <c:v>2</c:v>
                      </c:pt>
                    </c:numCache>
                  </c:numRef>
                </c:val>
                <c:smooth val="0"/>
              </c15:ser>
            </c15:filteredLineSeries>
            <c15:filteredLineSeries>
              <c15:ser>
                <c:idx val="7"/>
                <c:order val="7"/>
                <c:spPr>
                  <a:ln w="28575" cap="rnd">
                    <a:solidFill>
                      <a:schemeClr val="accent2">
                        <a:lumMod val="60000"/>
                      </a:schemeClr>
                    </a:solidFill>
                    <a:round/>
                  </a:ln>
                  <a:effectLst/>
                </c:spPr>
                <c:marker>
                  <c:symbol val="none"/>
                </c:marker>
                <c:cat>
                  <c:numRef>
                    <c:extLst xmlns:c15="http://schemas.microsoft.com/office/drawing/2012/chart">
                      <c:ext xmlns:c15="http://schemas.microsoft.com/office/drawing/2012/chart" uri="{02D57815-91ED-43cb-92C2-25804820EDAC}">
                        <c15:formulaRef>
                          <c15:sqref>Sheet1!$A$58:$A$102</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xmlns:c15="http://schemas.microsoft.com/office/drawing/2012/chart">
                      <c:ext xmlns:c15="http://schemas.microsoft.com/office/drawing/2012/chart" uri="{02D57815-91ED-43cb-92C2-25804820EDAC}">
                        <c15:formulaRef>
                          <c15:sqref>Sheet1!$I$58:$I$102</c15:sqref>
                        </c15:formulaRef>
                      </c:ext>
                    </c:extLst>
                    <c:numCache>
                      <c:formatCode>General</c:formatCode>
                      <c:ptCount val="45"/>
                      <c:pt idx="0">
                        <c:v>5.4</c:v>
                      </c:pt>
                      <c:pt idx="1">
                        <c:v>4.5999999999999996</c:v>
                      </c:pt>
                      <c:pt idx="2">
                        <c:v>2.9</c:v>
                      </c:pt>
                      <c:pt idx="3">
                        <c:v>7.4</c:v>
                      </c:pt>
                      <c:pt idx="4">
                        <c:v>10.9</c:v>
                      </c:pt>
                      <c:pt idx="5">
                        <c:v>8.6</c:v>
                      </c:pt>
                      <c:pt idx="6">
                        <c:v>5.7</c:v>
                      </c:pt>
                      <c:pt idx="7">
                        <c:v>6.6</c:v>
                      </c:pt>
                      <c:pt idx="8">
                        <c:v>7.8</c:v>
                      </c:pt>
                      <c:pt idx="9">
                        <c:v>11.8</c:v>
                      </c:pt>
                      <c:pt idx="10">
                        <c:v>12.9</c:v>
                      </c:pt>
                      <c:pt idx="11">
                        <c:v>10.8</c:v>
                      </c:pt>
                      <c:pt idx="12">
                        <c:v>5.9</c:v>
                      </c:pt>
                      <c:pt idx="13">
                        <c:v>2.6</c:v>
                      </c:pt>
                      <c:pt idx="14">
                        <c:v>4.3</c:v>
                      </c:pt>
                      <c:pt idx="15">
                        <c:v>3.3</c:v>
                      </c:pt>
                      <c:pt idx="16">
                        <c:v>1.6</c:v>
                      </c:pt>
                      <c:pt idx="17">
                        <c:v>4.3</c:v>
                      </c:pt>
                      <c:pt idx="18">
                        <c:v>4</c:v>
                      </c:pt>
                      <c:pt idx="19">
                        <c:v>4.7</c:v>
                      </c:pt>
                      <c:pt idx="20">
                        <c:v>5.6</c:v>
                      </c:pt>
                      <c:pt idx="21">
                        <c:v>3.8</c:v>
                      </c:pt>
                      <c:pt idx="22">
                        <c:v>3.1</c:v>
                      </c:pt>
                      <c:pt idx="23">
                        <c:v>2.8</c:v>
                      </c:pt>
                      <c:pt idx="24">
                        <c:v>2.9</c:v>
                      </c:pt>
                      <c:pt idx="25">
                        <c:v>2.6</c:v>
                      </c:pt>
                      <c:pt idx="26">
                        <c:v>2.9</c:v>
                      </c:pt>
                      <c:pt idx="27">
                        <c:v>2.2000000000000002</c:v>
                      </c:pt>
                      <c:pt idx="28">
                        <c:v>1.6</c:v>
                      </c:pt>
                      <c:pt idx="29">
                        <c:v>2.2999999999999998</c:v>
                      </c:pt>
                      <c:pt idx="30">
                        <c:v>3.4</c:v>
                      </c:pt>
                      <c:pt idx="31">
                        <c:v>2.7</c:v>
                      </c:pt>
                      <c:pt idx="32">
                        <c:v>1.8</c:v>
                      </c:pt>
                      <c:pt idx="33">
                        <c:v>2.2000000000000002</c:v>
                      </c:pt>
                      <c:pt idx="34">
                        <c:v>2.7</c:v>
                      </c:pt>
                      <c:pt idx="35">
                        <c:v>3.6</c:v>
                      </c:pt>
                      <c:pt idx="36">
                        <c:v>3.8</c:v>
                      </c:pt>
                      <c:pt idx="37">
                        <c:v>2</c:v>
                      </c:pt>
                      <c:pt idx="38">
                        <c:v>5.4</c:v>
                      </c:pt>
                      <c:pt idx="39">
                        <c:v>-1.5</c:v>
                      </c:pt>
                      <c:pt idx="40">
                        <c:v>1.1000000000000001</c:v>
                      </c:pt>
                      <c:pt idx="41">
                        <c:v>3.8</c:v>
                      </c:pt>
                      <c:pt idx="42">
                        <c:v>1.7</c:v>
                      </c:pt>
                      <c:pt idx="43">
                        <c:v>1.5</c:v>
                      </c:pt>
                      <c:pt idx="44">
                        <c:v>1.7</c:v>
                      </c:pt>
                    </c:numCache>
                  </c:numRef>
                </c:val>
                <c:smooth val="0"/>
              </c15:ser>
            </c15:filteredLineSeries>
            <c15:filteredLineSeries>
              <c15:ser>
                <c:idx val="8"/>
                <c:order val="8"/>
                <c:spPr>
                  <a:ln w="28575" cap="rnd">
                    <a:solidFill>
                      <a:schemeClr val="accent3">
                        <a:lumMod val="60000"/>
                      </a:schemeClr>
                    </a:solidFill>
                    <a:round/>
                  </a:ln>
                  <a:effectLst/>
                </c:spPr>
                <c:marker>
                  <c:symbol val="none"/>
                </c:marker>
                <c:cat>
                  <c:numRef>
                    <c:extLst xmlns:c15="http://schemas.microsoft.com/office/drawing/2012/chart">
                      <c:ext xmlns:c15="http://schemas.microsoft.com/office/drawing/2012/chart" uri="{02D57815-91ED-43cb-92C2-25804820EDAC}">
                        <c15:formulaRef>
                          <c15:sqref>Sheet1!$A$58:$A$102</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xmlns:c15="http://schemas.microsoft.com/office/drawing/2012/chart">
                      <c:ext xmlns:c15="http://schemas.microsoft.com/office/drawing/2012/chart" uri="{02D57815-91ED-43cb-92C2-25804820EDAC}">
                        <c15:formulaRef>
                          <c15:sqref>Sheet1!$J$58:$J$102</c15:sqref>
                        </c15:formulaRef>
                      </c:ext>
                    </c:extLst>
                    <c:numCache>
                      <c:formatCode>General</c:formatCode>
                      <c:ptCount val="45"/>
                      <c:pt idx="0">
                        <c:v>5.7</c:v>
                      </c:pt>
                      <c:pt idx="1">
                        <c:v>4.0999999999999996</c:v>
                      </c:pt>
                      <c:pt idx="2">
                        <c:v>3.2</c:v>
                      </c:pt>
                      <c:pt idx="3">
                        <c:v>7.4</c:v>
                      </c:pt>
                      <c:pt idx="4">
                        <c:v>11.9</c:v>
                      </c:pt>
                      <c:pt idx="5">
                        <c:v>7.9</c:v>
                      </c:pt>
                      <c:pt idx="6">
                        <c:v>5.5</c:v>
                      </c:pt>
                      <c:pt idx="7">
                        <c:v>6.6</c:v>
                      </c:pt>
                      <c:pt idx="8">
                        <c:v>8.3000000000000007</c:v>
                      </c:pt>
                      <c:pt idx="9">
                        <c:v>12.2</c:v>
                      </c:pt>
                      <c:pt idx="10">
                        <c:v>12.6</c:v>
                      </c:pt>
                      <c:pt idx="11">
                        <c:v>11</c:v>
                      </c:pt>
                      <c:pt idx="12">
                        <c:v>5</c:v>
                      </c:pt>
                      <c:pt idx="13">
                        <c:v>2.9</c:v>
                      </c:pt>
                      <c:pt idx="14">
                        <c:v>4.3</c:v>
                      </c:pt>
                      <c:pt idx="15">
                        <c:v>3.1</c:v>
                      </c:pt>
                      <c:pt idx="16">
                        <c:v>1.8</c:v>
                      </c:pt>
                      <c:pt idx="17">
                        <c:v>4.4000000000000004</c:v>
                      </c:pt>
                      <c:pt idx="18">
                        <c:v>4.2</c:v>
                      </c:pt>
                      <c:pt idx="19">
                        <c:v>4.3</c:v>
                      </c:pt>
                      <c:pt idx="20">
                        <c:v>6.2</c:v>
                      </c:pt>
                      <c:pt idx="21">
                        <c:v>3.4</c:v>
                      </c:pt>
                      <c:pt idx="22">
                        <c:v>3</c:v>
                      </c:pt>
                      <c:pt idx="23">
                        <c:v>2.7</c:v>
                      </c:pt>
                      <c:pt idx="24">
                        <c:v>3</c:v>
                      </c:pt>
                      <c:pt idx="25">
                        <c:v>2.5</c:v>
                      </c:pt>
                      <c:pt idx="26">
                        <c:v>3</c:v>
                      </c:pt>
                      <c:pt idx="27">
                        <c:v>2.2000000000000002</c:v>
                      </c:pt>
                      <c:pt idx="28">
                        <c:v>1.5</c:v>
                      </c:pt>
                      <c:pt idx="29">
                        <c:v>2.6</c:v>
                      </c:pt>
                      <c:pt idx="30">
                        <c:v>3.5</c:v>
                      </c:pt>
                      <c:pt idx="31">
                        <c:v>2.6</c:v>
                      </c:pt>
                      <c:pt idx="32">
                        <c:v>1.5</c:v>
                      </c:pt>
                      <c:pt idx="33">
                        <c:v>2.2999999999999998</c:v>
                      </c:pt>
                      <c:pt idx="34">
                        <c:v>2.5</c:v>
                      </c:pt>
                      <c:pt idx="35">
                        <c:v>4.7</c:v>
                      </c:pt>
                      <c:pt idx="36">
                        <c:v>2.1</c:v>
                      </c:pt>
                      <c:pt idx="37">
                        <c:v>2.8</c:v>
                      </c:pt>
                      <c:pt idx="38">
                        <c:v>4.9000000000000004</c:v>
                      </c:pt>
                      <c:pt idx="39">
                        <c:v>-1.3</c:v>
                      </c:pt>
                      <c:pt idx="40">
                        <c:v>1.1000000000000001</c:v>
                      </c:pt>
                      <c:pt idx="41">
                        <c:v>3.9</c:v>
                      </c:pt>
                      <c:pt idx="42">
                        <c:v>2</c:v>
                      </c:pt>
                      <c:pt idx="43">
                        <c:v>1.2</c:v>
                      </c:pt>
                      <c:pt idx="44">
                        <c:v>1.7</c:v>
                      </c:pt>
                    </c:numCache>
                  </c:numRef>
                </c:val>
                <c:smooth val="0"/>
              </c15:ser>
            </c15:filteredLineSeries>
            <c15:filteredLineSeries>
              <c15:ser>
                <c:idx val="9"/>
                <c:order val="9"/>
                <c:spPr>
                  <a:ln w="28575" cap="rnd">
                    <a:solidFill>
                      <a:schemeClr val="accent4">
                        <a:lumMod val="60000"/>
                      </a:schemeClr>
                    </a:solidFill>
                    <a:round/>
                  </a:ln>
                  <a:effectLst/>
                </c:spPr>
                <c:marker>
                  <c:symbol val="none"/>
                </c:marker>
                <c:cat>
                  <c:numRef>
                    <c:extLst xmlns:c15="http://schemas.microsoft.com/office/drawing/2012/chart">
                      <c:ext xmlns:c15="http://schemas.microsoft.com/office/drawing/2012/chart" uri="{02D57815-91ED-43cb-92C2-25804820EDAC}">
                        <c15:formulaRef>
                          <c15:sqref>Sheet1!$A$58:$A$102</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xmlns:c15="http://schemas.microsoft.com/office/drawing/2012/chart">
                      <c:ext xmlns:c15="http://schemas.microsoft.com/office/drawing/2012/chart" uri="{02D57815-91ED-43cb-92C2-25804820EDAC}">
                        <c15:formulaRef>
                          <c15:sqref>Sheet1!$K$58:$K$102</c15:sqref>
                        </c15:formulaRef>
                      </c:ext>
                    </c:extLst>
                    <c:numCache>
                      <c:formatCode>General</c:formatCode>
                      <c:ptCount val="45"/>
                      <c:pt idx="0">
                        <c:v>5.6</c:v>
                      </c:pt>
                      <c:pt idx="1">
                        <c:v>3.8</c:v>
                      </c:pt>
                      <c:pt idx="2">
                        <c:v>3.4</c:v>
                      </c:pt>
                      <c:pt idx="3">
                        <c:v>7.8</c:v>
                      </c:pt>
                      <c:pt idx="4">
                        <c:v>12.1</c:v>
                      </c:pt>
                      <c:pt idx="5">
                        <c:v>7.4</c:v>
                      </c:pt>
                      <c:pt idx="6">
                        <c:v>5.5</c:v>
                      </c:pt>
                      <c:pt idx="7">
                        <c:v>6.4</c:v>
                      </c:pt>
                      <c:pt idx="8">
                        <c:v>8.9</c:v>
                      </c:pt>
                      <c:pt idx="9">
                        <c:v>12.1</c:v>
                      </c:pt>
                      <c:pt idx="10">
                        <c:v>12.8</c:v>
                      </c:pt>
                      <c:pt idx="11">
                        <c:v>10.1</c:v>
                      </c:pt>
                      <c:pt idx="12">
                        <c:v>5.0999999999999996</c:v>
                      </c:pt>
                      <c:pt idx="13">
                        <c:v>2.9</c:v>
                      </c:pt>
                      <c:pt idx="14">
                        <c:v>4.3</c:v>
                      </c:pt>
                      <c:pt idx="15">
                        <c:v>3.2</c:v>
                      </c:pt>
                      <c:pt idx="16">
                        <c:v>1.5</c:v>
                      </c:pt>
                      <c:pt idx="17">
                        <c:v>4.5</c:v>
                      </c:pt>
                      <c:pt idx="18">
                        <c:v>4.2</c:v>
                      </c:pt>
                      <c:pt idx="19">
                        <c:v>4.5</c:v>
                      </c:pt>
                      <c:pt idx="20">
                        <c:v>6.3</c:v>
                      </c:pt>
                      <c:pt idx="21">
                        <c:v>2.9</c:v>
                      </c:pt>
                      <c:pt idx="22">
                        <c:v>3.2</c:v>
                      </c:pt>
                      <c:pt idx="23">
                        <c:v>2.8</c:v>
                      </c:pt>
                      <c:pt idx="24">
                        <c:v>2.6</c:v>
                      </c:pt>
                      <c:pt idx="25">
                        <c:v>2.8</c:v>
                      </c:pt>
                      <c:pt idx="26">
                        <c:v>3</c:v>
                      </c:pt>
                      <c:pt idx="27">
                        <c:v>2.1</c:v>
                      </c:pt>
                      <c:pt idx="28">
                        <c:v>1.5</c:v>
                      </c:pt>
                      <c:pt idx="29">
                        <c:v>2.6</c:v>
                      </c:pt>
                      <c:pt idx="30">
                        <c:v>3.4</c:v>
                      </c:pt>
                      <c:pt idx="31">
                        <c:v>2.1</c:v>
                      </c:pt>
                      <c:pt idx="32">
                        <c:v>2</c:v>
                      </c:pt>
                      <c:pt idx="33">
                        <c:v>2</c:v>
                      </c:pt>
                      <c:pt idx="34">
                        <c:v>3.2</c:v>
                      </c:pt>
                      <c:pt idx="35">
                        <c:v>4.3</c:v>
                      </c:pt>
                      <c:pt idx="36">
                        <c:v>1.3</c:v>
                      </c:pt>
                      <c:pt idx="37">
                        <c:v>3.5</c:v>
                      </c:pt>
                      <c:pt idx="38">
                        <c:v>3.7</c:v>
                      </c:pt>
                      <c:pt idx="39">
                        <c:v>-0.2</c:v>
                      </c:pt>
                      <c:pt idx="40">
                        <c:v>1.2</c:v>
                      </c:pt>
                      <c:pt idx="41">
                        <c:v>3.5</c:v>
                      </c:pt>
                      <c:pt idx="42">
                        <c:v>2.2000000000000002</c:v>
                      </c:pt>
                      <c:pt idx="43">
                        <c:v>1</c:v>
                      </c:pt>
                      <c:pt idx="44">
                        <c:v>1.7</c:v>
                      </c:pt>
                    </c:numCache>
                  </c:numRef>
                </c:val>
                <c:smooth val="0"/>
              </c15:ser>
            </c15:filteredLineSeries>
            <c15:filteredLineSeries>
              <c15:ser>
                <c:idx val="10"/>
                <c:order val="10"/>
                <c:spPr>
                  <a:ln w="28575" cap="rnd">
                    <a:solidFill>
                      <a:schemeClr val="accent5">
                        <a:lumMod val="60000"/>
                      </a:schemeClr>
                    </a:solidFill>
                    <a:round/>
                  </a:ln>
                  <a:effectLst/>
                </c:spPr>
                <c:marker>
                  <c:symbol val="none"/>
                </c:marker>
                <c:cat>
                  <c:numRef>
                    <c:extLst xmlns:c15="http://schemas.microsoft.com/office/drawing/2012/chart">
                      <c:ext xmlns:c15="http://schemas.microsoft.com/office/drawing/2012/chart" uri="{02D57815-91ED-43cb-92C2-25804820EDAC}">
                        <c15:formulaRef>
                          <c15:sqref>Sheet1!$A$58:$A$102</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xmlns:c15="http://schemas.microsoft.com/office/drawing/2012/chart">
                      <c:ext xmlns:c15="http://schemas.microsoft.com/office/drawing/2012/chart" uri="{02D57815-91ED-43cb-92C2-25804820EDAC}">
                        <c15:formulaRef>
                          <c15:sqref>Sheet1!$L$58:$L$102</c15:sqref>
                        </c15:formulaRef>
                      </c:ext>
                    </c:extLst>
                    <c:numCache>
                      <c:formatCode>General</c:formatCode>
                      <c:ptCount val="45"/>
                      <c:pt idx="0">
                        <c:v>5.6</c:v>
                      </c:pt>
                      <c:pt idx="1">
                        <c:v>3.3</c:v>
                      </c:pt>
                      <c:pt idx="2">
                        <c:v>3.7</c:v>
                      </c:pt>
                      <c:pt idx="3">
                        <c:v>8.3000000000000007</c:v>
                      </c:pt>
                      <c:pt idx="4">
                        <c:v>12.2</c:v>
                      </c:pt>
                      <c:pt idx="5">
                        <c:v>7.4</c:v>
                      </c:pt>
                      <c:pt idx="6">
                        <c:v>4.9000000000000004</c:v>
                      </c:pt>
                      <c:pt idx="7">
                        <c:v>6.7</c:v>
                      </c:pt>
                      <c:pt idx="8">
                        <c:v>8.9</c:v>
                      </c:pt>
                      <c:pt idx="9">
                        <c:v>12.6</c:v>
                      </c:pt>
                      <c:pt idx="10">
                        <c:v>12.6</c:v>
                      </c:pt>
                      <c:pt idx="11">
                        <c:v>9.6</c:v>
                      </c:pt>
                      <c:pt idx="12">
                        <c:v>4.5999999999999996</c:v>
                      </c:pt>
                      <c:pt idx="13">
                        <c:v>3.3</c:v>
                      </c:pt>
                      <c:pt idx="14">
                        <c:v>4.0999999999999996</c:v>
                      </c:pt>
                      <c:pt idx="15">
                        <c:v>3.5</c:v>
                      </c:pt>
                      <c:pt idx="16">
                        <c:v>1.3</c:v>
                      </c:pt>
                      <c:pt idx="17">
                        <c:v>4.5</c:v>
                      </c:pt>
                      <c:pt idx="18">
                        <c:v>4.2</c:v>
                      </c:pt>
                      <c:pt idx="19">
                        <c:v>4.7</c:v>
                      </c:pt>
                      <c:pt idx="20">
                        <c:v>6.3</c:v>
                      </c:pt>
                      <c:pt idx="21">
                        <c:v>3</c:v>
                      </c:pt>
                      <c:pt idx="22">
                        <c:v>3</c:v>
                      </c:pt>
                      <c:pt idx="23">
                        <c:v>2.7</c:v>
                      </c:pt>
                      <c:pt idx="24">
                        <c:v>2.7</c:v>
                      </c:pt>
                      <c:pt idx="25">
                        <c:v>2.6</c:v>
                      </c:pt>
                      <c:pt idx="26">
                        <c:v>3.3</c:v>
                      </c:pt>
                      <c:pt idx="27">
                        <c:v>1.8</c:v>
                      </c:pt>
                      <c:pt idx="28">
                        <c:v>1.5</c:v>
                      </c:pt>
                      <c:pt idx="29">
                        <c:v>2.6</c:v>
                      </c:pt>
                      <c:pt idx="30">
                        <c:v>3.4</c:v>
                      </c:pt>
                      <c:pt idx="31">
                        <c:v>1.9</c:v>
                      </c:pt>
                      <c:pt idx="32">
                        <c:v>2.2000000000000002</c:v>
                      </c:pt>
                      <c:pt idx="33">
                        <c:v>1.8</c:v>
                      </c:pt>
                      <c:pt idx="34">
                        <c:v>3.5</c:v>
                      </c:pt>
                      <c:pt idx="35">
                        <c:v>3.5</c:v>
                      </c:pt>
                      <c:pt idx="36">
                        <c:v>2</c:v>
                      </c:pt>
                      <c:pt idx="37">
                        <c:v>4.3</c:v>
                      </c:pt>
                      <c:pt idx="38">
                        <c:v>1.1000000000000001</c:v>
                      </c:pt>
                      <c:pt idx="39">
                        <c:v>1.8</c:v>
                      </c:pt>
                      <c:pt idx="40">
                        <c:v>1.1000000000000001</c:v>
                      </c:pt>
                      <c:pt idx="41">
                        <c:v>3.4</c:v>
                      </c:pt>
                      <c:pt idx="42">
                        <c:v>1.8</c:v>
                      </c:pt>
                      <c:pt idx="43">
                        <c:v>1.2</c:v>
                      </c:pt>
                      <c:pt idx="44">
                        <c:v>1.3</c:v>
                      </c:pt>
                    </c:numCache>
                  </c:numRef>
                </c:val>
                <c:smooth val="0"/>
              </c15:ser>
            </c15:filteredLineSeries>
            <c15:filteredLineSeries>
              <c15:ser>
                <c:idx val="11"/>
                <c:order val="11"/>
                <c:spPr>
                  <a:ln w="28575" cap="rnd">
                    <a:solidFill>
                      <a:schemeClr val="accent6">
                        <a:lumMod val="60000"/>
                      </a:schemeClr>
                    </a:solidFill>
                    <a:round/>
                  </a:ln>
                  <a:effectLst/>
                </c:spPr>
                <c:marker>
                  <c:symbol val="none"/>
                </c:marker>
                <c:cat>
                  <c:numRef>
                    <c:extLst xmlns:c15="http://schemas.microsoft.com/office/drawing/2012/chart">
                      <c:ext xmlns:c15="http://schemas.microsoft.com/office/drawing/2012/chart" uri="{02D57815-91ED-43cb-92C2-25804820EDAC}">
                        <c15:formulaRef>
                          <c15:sqref>Sheet1!$A$58:$A$102</c15:sqref>
                        </c15:formulaRef>
                      </c:ext>
                    </c:extLst>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extLst xmlns:c15="http://schemas.microsoft.com/office/drawing/2012/chart">
                      <c:ext xmlns:c15="http://schemas.microsoft.com/office/drawing/2012/chart" uri="{02D57815-91ED-43cb-92C2-25804820EDAC}">
                        <c15:formulaRef>
                          <c15:sqref>Sheet1!$M$58:$M$102</c15:sqref>
                        </c15:formulaRef>
                      </c:ext>
                    </c:extLst>
                    <c:numCache>
                      <c:formatCode>General</c:formatCode>
                      <c:ptCount val="45"/>
                      <c:pt idx="0">
                        <c:v>5.6</c:v>
                      </c:pt>
                      <c:pt idx="1">
                        <c:v>3.3</c:v>
                      </c:pt>
                      <c:pt idx="2">
                        <c:v>3.4</c:v>
                      </c:pt>
                      <c:pt idx="3">
                        <c:v>8.6999999999999993</c:v>
                      </c:pt>
                      <c:pt idx="4">
                        <c:v>12.3</c:v>
                      </c:pt>
                      <c:pt idx="5">
                        <c:v>6.9</c:v>
                      </c:pt>
                      <c:pt idx="6">
                        <c:v>4.9000000000000004</c:v>
                      </c:pt>
                      <c:pt idx="7">
                        <c:v>6.7</c:v>
                      </c:pt>
                      <c:pt idx="8">
                        <c:v>9</c:v>
                      </c:pt>
                      <c:pt idx="9">
                        <c:v>13.3</c:v>
                      </c:pt>
                      <c:pt idx="10">
                        <c:v>12.5</c:v>
                      </c:pt>
                      <c:pt idx="11">
                        <c:v>8.9</c:v>
                      </c:pt>
                      <c:pt idx="12">
                        <c:v>3.8</c:v>
                      </c:pt>
                      <c:pt idx="13">
                        <c:v>3.8</c:v>
                      </c:pt>
                      <c:pt idx="14">
                        <c:v>3.9</c:v>
                      </c:pt>
                      <c:pt idx="15">
                        <c:v>3.8</c:v>
                      </c:pt>
                      <c:pt idx="16">
                        <c:v>1.1000000000000001</c:v>
                      </c:pt>
                      <c:pt idx="17">
                        <c:v>4.4000000000000004</c:v>
                      </c:pt>
                      <c:pt idx="18">
                        <c:v>4.4000000000000004</c:v>
                      </c:pt>
                      <c:pt idx="19">
                        <c:v>4.5999999999999996</c:v>
                      </c:pt>
                      <c:pt idx="20">
                        <c:v>6.1</c:v>
                      </c:pt>
                      <c:pt idx="21">
                        <c:v>3.1</c:v>
                      </c:pt>
                      <c:pt idx="22">
                        <c:v>2.9</c:v>
                      </c:pt>
                      <c:pt idx="23">
                        <c:v>2.7</c:v>
                      </c:pt>
                      <c:pt idx="24">
                        <c:v>2.7</c:v>
                      </c:pt>
                      <c:pt idx="25">
                        <c:v>2.5</c:v>
                      </c:pt>
                      <c:pt idx="26">
                        <c:v>3.3</c:v>
                      </c:pt>
                      <c:pt idx="27">
                        <c:v>1.7</c:v>
                      </c:pt>
                      <c:pt idx="28">
                        <c:v>1.6</c:v>
                      </c:pt>
                      <c:pt idx="29">
                        <c:v>2.7</c:v>
                      </c:pt>
                      <c:pt idx="30">
                        <c:v>3.4</c:v>
                      </c:pt>
                      <c:pt idx="31">
                        <c:v>1.6</c:v>
                      </c:pt>
                      <c:pt idx="32">
                        <c:v>2.4</c:v>
                      </c:pt>
                      <c:pt idx="33">
                        <c:v>1.9</c:v>
                      </c:pt>
                      <c:pt idx="34">
                        <c:v>3.3</c:v>
                      </c:pt>
                      <c:pt idx="35">
                        <c:v>3.4</c:v>
                      </c:pt>
                      <c:pt idx="36">
                        <c:v>2.5</c:v>
                      </c:pt>
                      <c:pt idx="37">
                        <c:v>4.0999999999999996</c:v>
                      </c:pt>
                      <c:pt idx="38">
                        <c:v>0.1</c:v>
                      </c:pt>
                      <c:pt idx="39">
                        <c:v>2.7</c:v>
                      </c:pt>
                      <c:pt idx="40">
                        <c:v>1.5</c:v>
                      </c:pt>
                      <c:pt idx="41">
                        <c:v>3</c:v>
                      </c:pt>
                      <c:pt idx="42">
                        <c:v>1.7</c:v>
                      </c:pt>
                      <c:pt idx="43">
                        <c:v>1.5</c:v>
                      </c:pt>
                      <c:pt idx="44">
                        <c:v>0.8</c:v>
                      </c:pt>
                    </c:numCache>
                  </c:numRef>
                </c:val>
                <c:smooth val="0"/>
              </c15:ser>
            </c15:filteredLineSeries>
          </c:ext>
        </c:extLst>
      </c:lineChart>
      <c:catAx>
        <c:axId val="568365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8367760"/>
        <c:crosses val="autoZero"/>
        <c:auto val="1"/>
        <c:lblAlgn val="ctr"/>
        <c:lblOffset val="100"/>
        <c:noMultiLvlLbl val="0"/>
      </c:catAx>
      <c:valAx>
        <c:axId val="568367760"/>
        <c:scaling>
          <c:orientation val="minMax"/>
          <c:max val="14"/>
          <c:min val="-1"/>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8365800"/>
        <c:crosses val="autoZero"/>
        <c:crossBetween val="between"/>
        <c:majorUnit val="1"/>
        <c:minorUnit val="0.5"/>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Figure XXX: Monthly</a:t>
            </a:r>
            <a:r>
              <a:rPr lang="en-US" baseline="0"/>
              <a:t> Unemployment Rate 1970 - 2015 </a:t>
            </a:r>
            <a:endParaRPr lang="en-US"/>
          </a:p>
        </c:rich>
      </c:tx>
      <c:layout>
        <c:manualLayout>
          <c:xMode val="edge"/>
          <c:yMode val="edge"/>
          <c:x val="0.21666663609253575"/>
          <c:y val="1.927710843373494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8.5427696578373749E-2"/>
          <c:y val="0.18560187205514972"/>
          <c:w val="0.88389129483814521"/>
          <c:h val="0.56573344998541852"/>
        </c:manualLayout>
      </c:layout>
      <c:lineChart>
        <c:grouping val="standard"/>
        <c:varyColors val="0"/>
        <c:ser>
          <c:idx val="0"/>
          <c:order val="0"/>
          <c:tx>
            <c:strRef>
              <c:f>'BLS Data Series'!$D$12</c:f>
              <c:strCache>
                <c:ptCount val="1"/>
                <c:pt idx="0">
                  <c:v>Value</c:v>
                </c:pt>
              </c:strCache>
            </c:strRef>
          </c:tx>
          <c:spPr>
            <a:ln w="19050" cap="rnd">
              <a:solidFill>
                <a:schemeClr val="tx1"/>
              </a:solidFill>
              <a:round/>
            </a:ln>
            <a:effectLst/>
          </c:spPr>
          <c:marker>
            <c:symbol val="none"/>
          </c:marker>
          <c:cat>
            <c:numRef>
              <c:f>'BLS Data Series'!$B$13:$B$560</c:f>
              <c:numCache>
                <c:formatCode>General</c:formatCode>
                <c:ptCount val="548"/>
                <c:pt idx="0">
                  <c:v>1970</c:v>
                </c:pt>
                <c:pt idx="1">
                  <c:v>1970</c:v>
                </c:pt>
                <c:pt idx="2">
                  <c:v>1970</c:v>
                </c:pt>
                <c:pt idx="3">
                  <c:v>1970</c:v>
                </c:pt>
                <c:pt idx="4">
                  <c:v>1970</c:v>
                </c:pt>
                <c:pt idx="5">
                  <c:v>1970</c:v>
                </c:pt>
                <c:pt idx="6">
                  <c:v>1970</c:v>
                </c:pt>
                <c:pt idx="7">
                  <c:v>1970</c:v>
                </c:pt>
                <c:pt idx="8">
                  <c:v>1970</c:v>
                </c:pt>
                <c:pt idx="9">
                  <c:v>1970</c:v>
                </c:pt>
                <c:pt idx="10">
                  <c:v>1970</c:v>
                </c:pt>
                <c:pt idx="11">
                  <c:v>1970</c:v>
                </c:pt>
                <c:pt idx="12">
                  <c:v>1971</c:v>
                </c:pt>
                <c:pt idx="13">
                  <c:v>1971</c:v>
                </c:pt>
                <c:pt idx="14">
                  <c:v>1971</c:v>
                </c:pt>
                <c:pt idx="15">
                  <c:v>1971</c:v>
                </c:pt>
                <c:pt idx="16">
                  <c:v>1971</c:v>
                </c:pt>
                <c:pt idx="17">
                  <c:v>1971</c:v>
                </c:pt>
                <c:pt idx="18">
                  <c:v>1971</c:v>
                </c:pt>
                <c:pt idx="19">
                  <c:v>1971</c:v>
                </c:pt>
                <c:pt idx="20">
                  <c:v>1971</c:v>
                </c:pt>
                <c:pt idx="21">
                  <c:v>1971</c:v>
                </c:pt>
                <c:pt idx="22">
                  <c:v>1971</c:v>
                </c:pt>
                <c:pt idx="23">
                  <c:v>1971</c:v>
                </c:pt>
                <c:pt idx="24">
                  <c:v>1972</c:v>
                </c:pt>
                <c:pt idx="25">
                  <c:v>1972</c:v>
                </c:pt>
                <c:pt idx="26">
                  <c:v>1972</c:v>
                </c:pt>
                <c:pt idx="27">
                  <c:v>1972</c:v>
                </c:pt>
                <c:pt idx="28">
                  <c:v>1972</c:v>
                </c:pt>
                <c:pt idx="29">
                  <c:v>1972</c:v>
                </c:pt>
                <c:pt idx="30">
                  <c:v>1972</c:v>
                </c:pt>
                <c:pt idx="31">
                  <c:v>1972</c:v>
                </c:pt>
                <c:pt idx="32">
                  <c:v>1972</c:v>
                </c:pt>
                <c:pt idx="33">
                  <c:v>1972</c:v>
                </c:pt>
                <c:pt idx="34">
                  <c:v>1972</c:v>
                </c:pt>
                <c:pt idx="35">
                  <c:v>1972</c:v>
                </c:pt>
                <c:pt idx="36">
                  <c:v>1973</c:v>
                </c:pt>
                <c:pt idx="37">
                  <c:v>1973</c:v>
                </c:pt>
                <c:pt idx="38">
                  <c:v>1973</c:v>
                </c:pt>
                <c:pt idx="39">
                  <c:v>1973</c:v>
                </c:pt>
                <c:pt idx="40">
                  <c:v>1973</c:v>
                </c:pt>
                <c:pt idx="41">
                  <c:v>1973</c:v>
                </c:pt>
                <c:pt idx="42">
                  <c:v>1973</c:v>
                </c:pt>
                <c:pt idx="43">
                  <c:v>1973</c:v>
                </c:pt>
                <c:pt idx="44">
                  <c:v>1973</c:v>
                </c:pt>
                <c:pt idx="45">
                  <c:v>1973</c:v>
                </c:pt>
                <c:pt idx="46">
                  <c:v>1973</c:v>
                </c:pt>
                <c:pt idx="47">
                  <c:v>1973</c:v>
                </c:pt>
                <c:pt idx="48">
                  <c:v>1974</c:v>
                </c:pt>
                <c:pt idx="49">
                  <c:v>1974</c:v>
                </c:pt>
                <c:pt idx="50">
                  <c:v>1974</c:v>
                </c:pt>
                <c:pt idx="51">
                  <c:v>1974</c:v>
                </c:pt>
                <c:pt idx="52">
                  <c:v>1974</c:v>
                </c:pt>
                <c:pt idx="53">
                  <c:v>1974</c:v>
                </c:pt>
                <c:pt idx="54">
                  <c:v>1974</c:v>
                </c:pt>
                <c:pt idx="55">
                  <c:v>1974</c:v>
                </c:pt>
                <c:pt idx="56">
                  <c:v>1974</c:v>
                </c:pt>
                <c:pt idx="57">
                  <c:v>1974</c:v>
                </c:pt>
                <c:pt idx="58">
                  <c:v>1974</c:v>
                </c:pt>
                <c:pt idx="59">
                  <c:v>1974</c:v>
                </c:pt>
                <c:pt idx="60">
                  <c:v>1975</c:v>
                </c:pt>
                <c:pt idx="61">
                  <c:v>1975</c:v>
                </c:pt>
                <c:pt idx="62">
                  <c:v>1975</c:v>
                </c:pt>
                <c:pt idx="63">
                  <c:v>1975</c:v>
                </c:pt>
                <c:pt idx="64">
                  <c:v>1975</c:v>
                </c:pt>
                <c:pt idx="65">
                  <c:v>1975</c:v>
                </c:pt>
                <c:pt idx="66">
                  <c:v>1975</c:v>
                </c:pt>
                <c:pt idx="67">
                  <c:v>1975</c:v>
                </c:pt>
                <c:pt idx="68">
                  <c:v>1975</c:v>
                </c:pt>
                <c:pt idx="69">
                  <c:v>1975</c:v>
                </c:pt>
                <c:pt idx="70">
                  <c:v>1975</c:v>
                </c:pt>
                <c:pt idx="71">
                  <c:v>1975</c:v>
                </c:pt>
                <c:pt idx="72">
                  <c:v>1976</c:v>
                </c:pt>
                <c:pt idx="73">
                  <c:v>1976</c:v>
                </c:pt>
                <c:pt idx="74">
                  <c:v>1976</c:v>
                </c:pt>
                <c:pt idx="75">
                  <c:v>1976</c:v>
                </c:pt>
                <c:pt idx="76">
                  <c:v>1976</c:v>
                </c:pt>
                <c:pt idx="77">
                  <c:v>1976</c:v>
                </c:pt>
                <c:pt idx="78">
                  <c:v>1976</c:v>
                </c:pt>
                <c:pt idx="79">
                  <c:v>1976</c:v>
                </c:pt>
                <c:pt idx="80">
                  <c:v>1976</c:v>
                </c:pt>
                <c:pt idx="81">
                  <c:v>1976</c:v>
                </c:pt>
                <c:pt idx="82">
                  <c:v>1976</c:v>
                </c:pt>
                <c:pt idx="83">
                  <c:v>1976</c:v>
                </c:pt>
                <c:pt idx="84">
                  <c:v>1977</c:v>
                </c:pt>
                <c:pt idx="85">
                  <c:v>1977</c:v>
                </c:pt>
                <c:pt idx="86">
                  <c:v>1977</c:v>
                </c:pt>
                <c:pt idx="87">
                  <c:v>1977</c:v>
                </c:pt>
                <c:pt idx="88">
                  <c:v>1977</c:v>
                </c:pt>
                <c:pt idx="89">
                  <c:v>1977</c:v>
                </c:pt>
                <c:pt idx="90">
                  <c:v>1977</c:v>
                </c:pt>
                <c:pt idx="91">
                  <c:v>1977</c:v>
                </c:pt>
                <c:pt idx="92">
                  <c:v>1977</c:v>
                </c:pt>
                <c:pt idx="93">
                  <c:v>1977</c:v>
                </c:pt>
                <c:pt idx="94">
                  <c:v>1977</c:v>
                </c:pt>
                <c:pt idx="95">
                  <c:v>1977</c:v>
                </c:pt>
                <c:pt idx="96">
                  <c:v>1978</c:v>
                </c:pt>
                <c:pt idx="97">
                  <c:v>1978</c:v>
                </c:pt>
                <c:pt idx="98">
                  <c:v>1978</c:v>
                </c:pt>
                <c:pt idx="99">
                  <c:v>1978</c:v>
                </c:pt>
                <c:pt idx="100">
                  <c:v>1978</c:v>
                </c:pt>
                <c:pt idx="101">
                  <c:v>1978</c:v>
                </c:pt>
                <c:pt idx="102">
                  <c:v>1978</c:v>
                </c:pt>
                <c:pt idx="103">
                  <c:v>1978</c:v>
                </c:pt>
                <c:pt idx="104">
                  <c:v>1978</c:v>
                </c:pt>
                <c:pt idx="105">
                  <c:v>1978</c:v>
                </c:pt>
                <c:pt idx="106">
                  <c:v>1978</c:v>
                </c:pt>
                <c:pt idx="107">
                  <c:v>1978</c:v>
                </c:pt>
                <c:pt idx="108">
                  <c:v>1979</c:v>
                </c:pt>
                <c:pt idx="109">
                  <c:v>1979</c:v>
                </c:pt>
                <c:pt idx="110">
                  <c:v>1979</c:v>
                </c:pt>
                <c:pt idx="111">
                  <c:v>1979</c:v>
                </c:pt>
                <c:pt idx="112">
                  <c:v>1979</c:v>
                </c:pt>
                <c:pt idx="113">
                  <c:v>1979</c:v>
                </c:pt>
                <c:pt idx="114">
                  <c:v>1979</c:v>
                </c:pt>
                <c:pt idx="115">
                  <c:v>1979</c:v>
                </c:pt>
                <c:pt idx="116">
                  <c:v>1979</c:v>
                </c:pt>
                <c:pt idx="117">
                  <c:v>1979</c:v>
                </c:pt>
                <c:pt idx="118">
                  <c:v>1979</c:v>
                </c:pt>
                <c:pt idx="119">
                  <c:v>1979</c:v>
                </c:pt>
                <c:pt idx="120">
                  <c:v>1980</c:v>
                </c:pt>
                <c:pt idx="121">
                  <c:v>1980</c:v>
                </c:pt>
                <c:pt idx="122">
                  <c:v>1980</c:v>
                </c:pt>
                <c:pt idx="123">
                  <c:v>1980</c:v>
                </c:pt>
                <c:pt idx="124">
                  <c:v>1980</c:v>
                </c:pt>
                <c:pt idx="125">
                  <c:v>1980</c:v>
                </c:pt>
                <c:pt idx="126">
                  <c:v>1980</c:v>
                </c:pt>
                <c:pt idx="127">
                  <c:v>1980</c:v>
                </c:pt>
                <c:pt idx="128">
                  <c:v>1980</c:v>
                </c:pt>
                <c:pt idx="129">
                  <c:v>1980</c:v>
                </c:pt>
                <c:pt idx="130">
                  <c:v>1980</c:v>
                </c:pt>
                <c:pt idx="131">
                  <c:v>1980</c:v>
                </c:pt>
                <c:pt idx="132">
                  <c:v>1981</c:v>
                </c:pt>
                <c:pt idx="133">
                  <c:v>1981</c:v>
                </c:pt>
                <c:pt idx="134">
                  <c:v>1981</c:v>
                </c:pt>
                <c:pt idx="135">
                  <c:v>1981</c:v>
                </c:pt>
                <c:pt idx="136">
                  <c:v>1981</c:v>
                </c:pt>
                <c:pt idx="137">
                  <c:v>1981</c:v>
                </c:pt>
                <c:pt idx="138">
                  <c:v>1981</c:v>
                </c:pt>
                <c:pt idx="139">
                  <c:v>1981</c:v>
                </c:pt>
                <c:pt idx="140">
                  <c:v>1981</c:v>
                </c:pt>
                <c:pt idx="141">
                  <c:v>1981</c:v>
                </c:pt>
                <c:pt idx="142">
                  <c:v>1981</c:v>
                </c:pt>
                <c:pt idx="143">
                  <c:v>1981</c:v>
                </c:pt>
                <c:pt idx="144">
                  <c:v>1982</c:v>
                </c:pt>
                <c:pt idx="145">
                  <c:v>1982</c:v>
                </c:pt>
                <c:pt idx="146">
                  <c:v>1982</c:v>
                </c:pt>
                <c:pt idx="147">
                  <c:v>1982</c:v>
                </c:pt>
                <c:pt idx="148">
                  <c:v>1982</c:v>
                </c:pt>
                <c:pt idx="149">
                  <c:v>1982</c:v>
                </c:pt>
                <c:pt idx="150">
                  <c:v>1982</c:v>
                </c:pt>
                <c:pt idx="151">
                  <c:v>1982</c:v>
                </c:pt>
                <c:pt idx="152">
                  <c:v>1982</c:v>
                </c:pt>
                <c:pt idx="153">
                  <c:v>1982</c:v>
                </c:pt>
                <c:pt idx="154">
                  <c:v>1982</c:v>
                </c:pt>
                <c:pt idx="155">
                  <c:v>1982</c:v>
                </c:pt>
                <c:pt idx="156">
                  <c:v>1983</c:v>
                </c:pt>
                <c:pt idx="157">
                  <c:v>1983</c:v>
                </c:pt>
                <c:pt idx="158">
                  <c:v>1983</c:v>
                </c:pt>
                <c:pt idx="159">
                  <c:v>1983</c:v>
                </c:pt>
                <c:pt idx="160">
                  <c:v>1983</c:v>
                </c:pt>
                <c:pt idx="161">
                  <c:v>1983</c:v>
                </c:pt>
                <c:pt idx="162">
                  <c:v>1983</c:v>
                </c:pt>
                <c:pt idx="163">
                  <c:v>1983</c:v>
                </c:pt>
                <c:pt idx="164">
                  <c:v>1983</c:v>
                </c:pt>
                <c:pt idx="165">
                  <c:v>1983</c:v>
                </c:pt>
                <c:pt idx="166">
                  <c:v>1983</c:v>
                </c:pt>
                <c:pt idx="167">
                  <c:v>1983</c:v>
                </c:pt>
                <c:pt idx="168">
                  <c:v>1984</c:v>
                </c:pt>
                <c:pt idx="169">
                  <c:v>1984</c:v>
                </c:pt>
                <c:pt idx="170">
                  <c:v>1984</c:v>
                </c:pt>
                <c:pt idx="171">
                  <c:v>1984</c:v>
                </c:pt>
                <c:pt idx="172">
                  <c:v>1984</c:v>
                </c:pt>
                <c:pt idx="173">
                  <c:v>1984</c:v>
                </c:pt>
                <c:pt idx="174">
                  <c:v>1984</c:v>
                </c:pt>
                <c:pt idx="175">
                  <c:v>1984</c:v>
                </c:pt>
                <c:pt idx="176">
                  <c:v>1984</c:v>
                </c:pt>
                <c:pt idx="177">
                  <c:v>1984</c:v>
                </c:pt>
                <c:pt idx="178">
                  <c:v>1984</c:v>
                </c:pt>
                <c:pt idx="179">
                  <c:v>1984</c:v>
                </c:pt>
                <c:pt idx="180">
                  <c:v>1985</c:v>
                </c:pt>
                <c:pt idx="181">
                  <c:v>1985</c:v>
                </c:pt>
                <c:pt idx="182">
                  <c:v>1985</c:v>
                </c:pt>
                <c:pt idx="183">
                  <c:v>1985</c:v>
                </c:pt>
                <c:pt idx="184">
                  <c:v>1985</c:v>
                </c:pt>
                <c:pt idx="185">
                  <c:v>1985</c:v>
                </c:pt>
                <c:pt idx="186">
                  <c:v>1985</c:v>
                </c:pt>
                <c:pt idx="187">
                  <c:v>1985</c:v>
                </c:pt>
                <c:pt idx="188">
                  <c:v>1985</c:v>
                </c:pt>
                <c:pt idx="189">
                  <c:v>1985</c:v>
                </c:pt>
                <c:pt idx="190">
                  <c:v>1985</c:v>
                </c:pt>
                <c:pt idx="191">
                  <c:v>1985</c:v>
                </c:pt>
                <c:pt idx="192">
                  <c:v>1986</c:v>
                </c:pt>
                <c:pt idx="193">
                  <c:v>1986</c:v>
                </c:pt>
                <c:pt idx="194">
                  <c:v>1986</c:v>
                </c:pt>
                <c:pt idx="195">
                  <c:v>1986</c:v>
                </c:pt>
                <c:pt idx="196">
                  <c:v>1986</c:v>
                </c:pt>
                <c:pt idx="197">
                  <c:v>1986</c:v>
                </c:pt>
                <c:pt idx="198">
                  <c:v>1986</c:v>
                </c:pt>
                <c:pt idx="199">
                  <c:v>1986</c:v>
                </c:pt>
                <c:pt idx="200">
                  <c:v>1986</c:v>
                </c:pt>
                <c:pt idx="201">
                  <c:v>1986</c:v>
                </c:pt>
                <c:pt idx="202">
                  <c:v>1986</c:v>
                </c:pt>
                <c:pt idx="203">
                  <c:v>1986</c:v>
                </c:pt>
                <c:pt idx="204">
                  <c:v>1987</c:v>
                </c:pt>
                <c:pt idx="205">
                  <c:v>1987</c:v>
                </c:pt>
                <c:pt idx="206">
                  <c:v>1987</c:v>
                </c:pt>
                <c:pt idx="207">
                  <c:v>1987</c:v>
                </c:pt>
                <c:pt idx="208">
                  <c:v>1987</c:v>
                </c:pt>
                <c:pt idx="209">
                  <c:v>1987</c:v>
                </c:pt>
                <c:pt idx="210">
                  <c:v>1987</c:v>
                </c:pt>
                <c:pt idx="211">
                  <c:v>1987</c:v>
                </c:pt>
                <c:pt idx="212">
                  <c:v>1987</c:v>
                </c:pt>
                <c:pt idx="213">
                  <c:v>1987</c:v>
                </c:pt>
                <c:pt idx="214">
                  <c:v>1987</c:v>
                </c:pt>
                <c:pt idx="215">
                  <c:v>1987</c:v>
                </c:pt>
                <c:pt idx="216">
                  <c:v>1988</c:v>
                </c:pt>
                <c:pt idx="217">
                  <c:v>1988</c:v>
                </c:pt>
                <c:pt idx="218">
                  <c:v>1988</c:v>
                </c:pt>
                <c:pt idx="219">
                  <c:v>1988</c:v>
                </c:pt>
                <c:pt idx="220">
                  <c:v>1988</c:v>
                </c:pt>
                <c:pt idx="221">
                  <c:v>1988</c:v>
                </c:pt>
                <c:pt idx="222">
                  <c:v>1988</c:v>
                </c:pt>
                <c:pt idx="223">
                  <c:v>1988</c:v>
                </c:pt>
                <c:pt idx="224">
                  <c:v>1988</c:v>
                </c:pt>
                <c:pt idx="225">
                  <c:v>1988</c:v>
                </c:pt>
                <c:pt idx="226">
                  <c:v>1988</c:v>
                </c:pt>
                <c:pt idx="227">
                  <c:v>1988</c:v>
                </c:pt>
                <c:pt idx="228">
                  <c:v>1989</c:v>
                </c:pt>
                <c:pt idx="229">
                  <c:v>1989</c:v>
                </c:pt>
                <c:pt idx="230">
                  <c:v>1989</c:v>
                </c:pt>
                <c:pt idx="231">
                  <c:v>1989</c:v>
                </c:pt>
                <c:pt idx="232">
                  <c:v>1989</c:v>
                </c:pt>
                <c:pt idx="233">
                  <c:v>1989</c:v>
                </c:pt>
                <c:pt idx="234">
                  <c:v>1989</c:v>
                </c:pt>
                <c:pt idx="235">
                  <c:v>1989</c:v>
                </c:pt>
                <c:pt idx="236">
                  <c:v>1989</c:v>
                </c:pt>
                <c:pt idx="237">
                  <c:v>1989</c:v>
                </c:pt>
                <c:pt idx="238">
                  <c:v>1989</c:v>
                </c:pt>
                <c:pt idx="239">
                  <c:v>1989</c:v>
                </c:pt>
                <c:pt idx="240">
                  <c:v>1990</c:v>
                </c:pt>
                <c:pt idx="241">
                  <c:v>1990</c:v>
                </c:pt>
                <c:pt idx="242">
                  <c:v>1990</c:v>
                </c:pt>
                <c:pt idx="243">
                  <c:v>1990</c:v>
                </c:pt>
                <c:pt idx="244">
                  <c:v>1990</c:v>
                </c:pt>
                <c:pt idx="245">
                  <c:v>1990</c:v>
                </c:pt>
                <c:pt idx="246">
                  <c:v>1990</c:v>
                </c:pt>
                <c:pt idx="247">
                  <c:v>1990</c:v>
                </c:pt>
                <c:pt idx="248">
                  <c:v>1990</c:v>
                </c:pt>
                <c:pt idx="249">
                  <c:v>1990</c:v>
                </c:pt>
                <c:pt idx="250">
                  <c:v>1990</c:v>
                </c:pt>
                <c:pt idx="251">
                  <c:v>1990</c:v>
                </c:pt>
                <c:pt idx="252">
                  <c:v>1991</c:v>
                </c:pt>
                <c:pt idx="253">
                  <c:v>1991</c:v>
                </c:pt>
                <c:pt idx="254">
                  <c:v>1991</c:v>
                </c:pt>
                <c:pt idx="255">
                  <c:v>1991</c:v>
                </c:pt>
                <c:pt idx="256">
                  <c:v>1991</c:v>
                </c:pt>
                <c:pt idx="257">
                  <c:v>1991</c:v>
                </c:pt>
                <c:pt idx="258">
                  <c:v>1991</c:v>
                </c:pt>
                <c:pt idx="259">
                  <c:v>1991</c:v>
                </c:pt>
                <c:pt idx="260">
                  <c:v>1991</c:v>
                </c:pt>
                <c:pt idx="261">
                  <c:v>1991</c:v>
                </c:pt>
                <c:pt idx="262">
                  <c:v>1991</c:v>
                </c:pt>
                <c:pt idx="263">
                  <c:v>1991</c:v>
                </c:pt>
                <c:pt idx="264">
                  <c:v>1992</c:v>
                </c:pt>
                <c:pt idx="265">
                  <c:v>1992</c:v>
                </c:pt>
                <c:pt idx="266">
                  <c:v>1992</c:v>
                </c:pt>
                <c:pt idx="267">
                  <c:v>1992</c:v>
                </c:pt>
                <c:pt idx="268">
                  <c:v>1992</c:v>
                </c:pt>
                <c:pt idx="269">
                  <c:v>1992</c:v>
                </c:pt>
                <c:pt idx="270">
                  <c:v>1992</c:v>
                </c:pt>
                <c:pt idx="271">
                  <c:v>1992</c:v>
                </c:pt>
                <c:pt idx="272">
                  <c:v>1992</c:v>
                </c:pt>
                <c:pt idx="273">
                  <c:v>1992</c:v>
                </c:pt>
                <c:pt idx="274">
                  <c:v>1992</c:v>
                </c:pt>
                <c:pt idx="275">
                  <c:v>1992</c:v>
                </c:pt>
                <c:pt idx="276">
                  <c:v>1993</c:v>
                </c:pt>
                <c:pt idx="277">
                  <c:v>1993</c:v>
                </c:pt>
                <c:pt idx="278">
                  <c:v>1993</c:v>
                </c:pt>
                <c:pt idx="279">
                  <c:v>1993</c:v>
                </c:pt>
                <c:pt idx="280">
                  <c:v>1993</c:v>
                </c:pt>
                <c:pt idx="281">
                  <c:v>1993</c:v>
                </c:pt>
                <c:pt idx="282">
                  <c:v>1993</c:v>
                </c:pt>
                <c:pt idx="283">
                  <c:v>1993</c:v>
                </c:pt>
                <c:pt idx="284">
                  <c:v>1993</c:v>
                </c:pt>
                <c:pt idx="285">
                  <c:v>1993</c:v>
                </c:pt>
                <c:pt idx="286">
                  <c:v>1993</c:v>
                </c:pt>
                <c:pt idx="287">
                  <c:v>1993</c:v>
                </c:pt>
                <c:pt idx="288">
                  <c:v>1994</c:v>
                </c:pt>
                <c:pt idx="289">
                  <c:v>1994</c:v>
                </c:pt>
                <c:pt idx="290">
                  <c:v>1994</c:v>
                </c:pt>
                <c:pt idx="291">
                  <c:v>1994</c:v>
                </c:pt>
                <c:pt idx="292">
                  <c:v>1994</c:v>
                </c:pt>
                <c:pt idx="293">
                  <c:v>1994</c:v>
                </c:pt>
                <c:pt idx="294">
                  <c:v>1994</c:v>
                </c:pt>
                <c:pt idx="295">
                  <c:v>1994</c:v>
                </c:pt>
                <c:pt idx="296">
                  <c:v>1994</c:v>
                </c:pt>
                <c:pt idx="297">
                  <c:v>1994</c:v>
                </c:pt>
                <c:pt idx="298">
                  <c:v>1994</c:v>
                </c:pt>
                <c:pt idx="299">
                  <c:v>1994</c:v>
                </c:pt>
                <c:pt idx="300">
                  <c:v>1995</c:v>
                </c:pt>
                <c:pt idx="301">
                  <c:v>1995</c:v>
                </c:pt>
                <c:pt idx="302">
                  <c:v>1995</c:v>
                </c:pt>
                <c:pt idx="303">
                  <c:v>1995</c:v>
                </c:pt>
                <c:pt idx="304">
                  <c:v>1995</c:v>
                </c:pt>
                <c:pt idx="305">
                  <c:v>1995</c:v>
                </c:pt>
                <c:pt idx="306">
                  <c:v>1995</c:v>
                </c:pt>
                <c:pt idx="307">
                  <c:v>1995</c:v>
                </c:pt>
                <c:pt idx="308">
                  <c:v>1995</c:v>
                </c:pt>
                <c:pt idx="309">
                  <c:v>1995</c:v>
                </c:pt>
                <c:pt idx="310">
                  <c:v>1995</c:v>
                </c:pt>
                <c:pt idx="311">
                  <c:v>1995</c:v>
                </c:pt>
                <c:pt idx="312">
                  <c:v>1996</c:v>
                </c:pt>
                <c:pt idx="313">
                  <c:v>1996</c:v>
                </c:pt>
                <c:pt idx="314">
                  <c:v>1996</c:v>
                </c:pt>
                <c:pt idx="315">
                  <c:v>1996</c:v>
                </c:pt>
                <c:pt idx="316">
                  <c:v>1996</c:v>
                </c:pt>
                <c:pt idx="317">
                  <c:v>1996</c:v>
                </c:pt>
                <c:pt idx="318">
                  <c:v>1996</c:v>
                </c:pt>
                <c:pt idx="319">
                  <c:v>1996</c:v>
                </c:pt>
                <c:pt idx="320">
                  <c:v>1996</c:v>
                </c:pt>
                <c:pt idx="321">
                  <c:v>1996</c:v>
                </c:pt>
                <c:pt idx="322">
                  <c:v>1996</c:v>
                </c:pt>
                <c:pt idx="323">
                  <c:v>1996</c:v>
                </c:pt>
                <c:pt idx="324">
                  <c:v>1997</c:v>
                </c:pt>
                <c:pt idx="325">
                  <c:v>1997</c:v>
                </c:pt>
                <c:pt idx="326">
                  <c:v>1997</c:v>
                </c:pt>
                <c:pt idx="327">
                  <c:v>1997</c:v>
                </c:pt>
                <c:pt idx="328">
                  <c:v>1997</c:v>
                </c:pt>
                <c:pt idx="329">
                  <c:v>1997</c:v>
                </c:pt>
                <c:pt idx="330">
                  <c:v>1997</c:v>
                </c:pt>
                <c:pt idx="331">
                  <c:v>1997</c:v>
                </c:pt>
                <c:pt idx="332">
                  <c:v>1997</c:v>
                </c:pt>
                <c:pt idx="333">
                  <c:v>1997</c:v>
                </c:pt>
                <c:pt idx="334">
                  <c:v>1997</c:v>
                </c:pt>
                <c:pt idx="335">
                  <c:v>1997</c:v>
                </c:pt>
                <c:pt idx="336">
                  <c:v>1998</c:v>
                </c:pt>
                <c:pt idx="337">
                  <c:v>1998</c:v>
                </c:pt>
                <c:pt idx="338">
                  <c:v>1998</c:v>
                </c:pt>
                <c:pt idx="339">
                  <c:v>1998</c:v>
                </c:pt>
                <c:pt idx="340">
                  <c:v>1998</c:v>
                </c:pt>
                <c:pt idx="341">
                  <c:v>1998</c:v>
                </c:pt>
                <c:pt idx="342">
                  <c:v>1998</c:v>
                </c:pt>
                <c:pt idx="343">
                  <c:v>1998</c:v>
                </c:pt>
                <c:pt idx="344">
                  <c:v>1998</c:v>
                </c:pt>
                <c:pt idx="345">
                  <c:v>1998</c:v>
                </c:pt>
                <c:pt idx="346">
                  <c:v>1998</c:v>
                </c:pt>
                <c:pt idx="347">
                  <c:v>1998</c:v>
                </c:pt>
                <c:pt idx="348">
                  <c:v>1999</c:v>
                </c:pt>
                <c:pt idx="349">
                  <c:v>1999</c:v>
                </c:pt>
                <c:pt idx="350">
                  <c:v>1999</c:v>
                </c:pt>
                <c:pt idx="351">
                  <c:v>1999</c:v>
                </c:pt>
                <c:pt idx="352">
                  <c:v>1999</c:v>
                </c:pt>
                <c:pt idx="353">
                  <c:v>1999</c:v>
                </c:pt>
                <c:pt idx="354">
                  <c:v>1999</c:v>
                </c:pt>
                <c:pt idx="355">
                  <c:v>1999</c:v>
                </c:pt>
                <c:pt idx="356">
                  <c:v>1999</c:v>
                </c:pt>
                <c:pt idx="357">
                  <c:v>1999</c:v>
                </c:pt>
                <c:pt idx="358">
                  <c:v>1999</c:v>
                </c:pt>
                <c:pt idx="359">
                  <c:v>1999</c:v>
                </c:pt>
                <c:pt idx="360">
                  <c:v>2000</c:v>
                </c:pt>
                <c:pt idx="361">
                  <c:v>2000</c:v>
                </c:pt>
                <c:pt idx="362">
                  <c:v>2000</c:v>
                </c:pt>
                <c:pt idx="363">
                  <c:v>2000</c:v>
                </c:pt>
                <c:pt idx="364">
                  <c:v>2000</c:v>
                </c:pt>
                <c:pt idx="365">
                  <c:v>2000</c:v>
                </c:pt>
                <c:pt idx="366">
                  <c:v>2000</c:v>
                </c:pt>
                <c:pt idx="367">
                  <c:v>2000</c:v>
                </c:pt>
                <c:pt idx="368">
                  <c:v>2000</c:v>
                </c:pt>
                <c:pt idx="369">
                  <c:v>2000</c:v>
                </c:pt>
                <c:pt idx="370">
                  <c:v>2000</c:v>
                </c:pt>
                <c:pt idx="371">
                  <c:v>2000</c:v>
                </c:pt>
                <c:pt idx="372">
                  <c:v>2001</c:v>
                </c:pt>
                <c:pt idx="373">
                  <c:v>2001</c:v>
                </c:pt>
                <c:pt idx="374">
                  <c:v>2001</c:v>
                </c:pt>
                <c:pt idx="375">
                  <c:v>2001</c:v>
                </c:pt>
                <c:pt idx="376">
                  <c:v>2001</c:v>
                </c:pt>
                <c:pt idx="377">
                  <c:v>2001</c:v>
                </c:pt>
                <c:pt idx="378">
                  <c:v>2001</c:v>
                </c:pt>
                <c:pt idx="379">
                  <c:v>2001</c:v>
                </c:pt>
                <c:pt idx="380">
                  <c:v>2001</c:v>
                </c:pt>
                <c:pt idx="381">
                  <c:v>2001</c:v>
                </c:pt>
                <c:pt idx="382">
                  <c:v>2001</c:v>
                </c:pt>
                <c:pt idx="383">
                  <c:v>2001</c:v>
                </c:pt>
                <c:pt idx="384">
                  <c:v>2002</c:v>
                </c:pt>
                <c:pt idx="385">
                  <c:v>2002</c:v>
                </c:pt>
                <c:pt idx="386">
                  <c:v>2002</c:v>
                </c:pt>
                <c:pt idx="387">
                  <c:v>2002</c:v>
                </c:pt>
                <c:pt idx="388">
                  <c:v>2002</c:v>
                </c:pt>
                <c:pt idx="389">
                  <c:v>2002</c:v>
                </c:pt>
                <c:pt idx="390">
                  <c:v>2002</c:v>
                </c:pt>
                <c:pt idx="391">
                  <c:v>2002</c:v>
                </c:pt>
                <c:pt idx="392">
                  <c:v>2002</c:v>
                </c:pt>
                <c:pt idx="393">
                  <c:v>2002</c:v>
                </c:pt>
                <c:pt idx="394">
                  <c:v>2002</c:v>
                </c:pt>
                <c:pt idx="395">
                  <c:v>2002</c:v>
                </c:pt>
                <c:pt idx="396">
                  <c:v>2003</c:v>
                </c:pt>
                <c:pt idx="397">
                  <c:v>2003</c:v>
                </c:pt>
                <c:pt idx="398">
                  <c:v>2003</c:v>
                </c:pt>
                <c:pt idx="399">
                  <c:v>2003</c:v>
                </c:pt>
                <c:pt idx="400">
                  <c:v>2003</c:v>
                </c:pt>
                <c:pt idx="401">
                  <c:v>2003</c:v>
                </c:pt>
                <c:pt idx="402">
                  <c:v>2003</c:v>
                </c:pt>
                <c:pt idx="403">
                  <c:v>2003</c:v>
                </c:pt>
                <c:pt idx="404">
                  <c:v>2003</c:v>
                </c:pt>
                <c:pt idx="405">
                  <c:v>2003</c:v>
                </c:pt>
                <c:pt idx="406">
                  <c:v>2003</c:v>
                </c:pt>
                <c:pt idx="407">
                  <c:v>2003</c:v>
                </c:pt>
                <c:pt idx="408">
                  <c:v>2004</c:v>
                </c:pt>
                <c:pt idx="409">
                  <c:v>2004</c:v>
                </c:pt>
                <c:pt idx="410">
                  <c:v>2004</c:v>
                </c:pt>
                <c:pt idx="411">
                  <c:v>2004</c:v>
                </c:pt>
                <c:pt idx="412">
                  <c:v>2004</c:v>
                </c:pt>
                <c:pt idx="413">
                  <c:v>2004</c:v>
                </c:pt>
                <c:pt idx="414">
                  <c:v>2004</c:v>
                </c:pt>
                <c:pt idx="415">
                  <c:v>2004</c:v>
                </c:pt>
                <c:pt idx="416">
                  <c:v>2004</c:v>
                </c:pt>
                <c:pt idx="417">
                  <c:v>2004</c:v>
                </c:pt>
                <c:pt idx="418">
                  <c:v>2004</c:v>
                </c:pt>
                <c:pt idx="419">
                  <c:v>2004</c:v>
                </c:pt>
                <c:pt idx="420">
                  <c:v>2005</c:v>
                </c:pt>
                <c:pt idx="421">
                  <c:v>2005</c:v>
                </c:pt>
                <c:pt idx="422">
                  <c:v>2005</c:v>
                </c:pt>
                <c:pt idx="423">
                  <c:v>2005</c:v>
                </c:pt>
                <c:pt idx="424">
                  <c:v>2005</c:v>
                </c:pt>
                <c:pt idx="425">
                  <c:v>2005</c:v>
                </c:pt>
                <c:pt idx="426">
                  <c:v>2005</c:v>
                </c:pt>
                <c:pt idx="427">
                  <c:v>2005</c:v>
                </c:pt>
                <c:pt idx="428">
                  <c:v>2005</c:v>
                </c:pt>
                <c:pt idx="429">
                  <c:v>2005</c:v>
                </c:pt>
                <c:pt idx="430">
                  <c:v>2005</c:v>
                </c:pt>
                <c:pt idx="431">
                  <c:v>2005</c:v>
                </c:pt>
                <c:pt idx="432">
                  <c:v>2006</c:v>
                </c:pt>
                <c:pt idx="433">
                  <c:v>2006</c:v>
                </c:pt>
                <c:pt idx="434">
                  <c:v>2006</c:v>
                </c:pt>
                <c:pt idx="435">
                  <c:v>2006</c:v>
                </c:pt>
                <c:pt idx="436">
                  <c:v>2006</c:v>
                </c:pt>
                <c:pt idx="437">
                  <c:v>2006</c:v>
                </c:pt>
                <c:pt idx="438">
                  <c:v>2006</c:v>
                </c:pt>
                <c:pt idx="439">
                  <c:v>2006</c:v>
                </c:pt>
                <c:pt idx="440">
                  <c:v>2006</c:v>
                </c:pt>
                <c:pt idx="441">
                  <c:v>2006</c:v>
                </c:pt>
                <c:pt idx="442">
                  <c:v>2006</c:v>
                </c:pt>
                <c:pt idx="443">
                  <c:v>2006</c:v>
                </c:pt>
                <c:pt idx="444">
                  <c:v>2007</c:v>
                </c:pt>
                <c:pt idx="445">
                  <c:v>2007</c:v>
                </c:pt>
                <c:pt idx="446">
                  <c:v>2007</c:v>
                </c:pt>
                <c:pt idx="447">
                  <c:v>2007</c:v>
                </c:pt>
                <c:pt idx="448">
                  <c:v>2007</c:v>
                </c:pt>
                <c:pt idx="449">
                  <c:v>2007</c:v>
                </c:pt>
                <c:pt idx="450">
                  <c:v>2007</c:v>
                </c:pt>
                <c:pt idx="451">
                  <c:v>2007</c:v>
                </c:pt>
                <c:pt idx="452">
                  <c:v>2007</c:v>
                </c:pt>
                <c:pt idx="453">
                  <c:v>2007</c:v>
                </c:pt>
                <c:pt idx="454">
                  <c:v>2007</c:v>
                </c:pt>
                <c:pt idx="455">
                  <c:v>2007</c:v>
                </c:pt>
                <c:pt idx="456">
                  <c:v>2008</c:v>
                </c:pt>
                <c:pt idx="457">
                  <c:v>2008</c:v>
                </c:pt>
                <c:pt idx="458">
                  <c:v>2008</c:v>
                </c:pt>
                <c:pt idx="459">
                  <c:v>2008</c:v>
                </c:pt>
                <c:pt idx="460">
                  <c:v>2008</c:v>
                </c:pt>
                <c:pt idx="461">
                  <c:v>2008</c:v>
                </c:pt>
                <c:pt idx="462">
                  <c:v>2008</c:v>
                </c:pt>
                <c:pt idx="463">
                  <c:v>2008</c:v>
                </c:pt>
                <c:pt idx="464">
                  <c:v>2008</c:v>
                </c:pt>
                <c:pt idx="465">
                  <c:v>2008</c:v>
                </c:pt>
                <c:pt idx="466">
                  <c:v>2008</c:v>
                </c:pt>
                <c:pt idx="467">
                  <c:v>2008</c:v>
                </c:pt>
                <c:pt idx="468">
                  <c:v>2009</c:v>
                </c:pt>
                <c:pt idx="469">
                  <c:v>2009</c:v>
                </c:pt>
                <c:pt idx="470">
                  <c:v>2009</c:v>
                </c:pt>
                <c:pt idx="471">
                  <c:v>2009</c:v>
                </c:pt>
                <c:pt idx="472">
                  <c:v>2009</c:v>
                </c:pt>
                <c:pt idx="473">
                  <c:v>2009</c:v>
                </c:pt>
                <c:pt idx="474">
                  <c:v>2009</c:v>
                </c:pt>
                <c:pt idx="475">
                  <c:v>2009</c:v>
                </c:pt>
                <c:pt idx="476">
                  <c:v>2009</c:v>
                </c:pt>
                <c:pt idx="477">
                  <c:v>2009</c:v>
                </c:pt>
                <c:pt idx="478">
                  <c:v>2009</c:v>
                </c:pt>
                <c:pt idx="479">
                  <c:v>2009</c:v>
                </c:pt>
                <c:pt idx="480">
                  <c:v>2010</c:v>
                </c:pt>
                <c:pt idx="481">
                  <c:v>2010</c:v>
                </c:pt>
                <c:pt idx="482">
                  <c:v>2010</c:v>
                </c:pt>
                <c:pt idx="483">
                  <c:v>2010</c:v>
                </c:pt>
                <c:pt idx="484">
                  <c:v>2010</c:v>
                </c:pt>
                <c:pt idx="485">
                  <c:v>2010</c:v>
                </c:pt>
                <c:pt idx="486">
                  <c:v>2010</c:v>
                </c:pt>
                <c:pt idx="487">
                  <c:v>2010</c:v>
                </c:pt>
                <c:pt idx="488">
                  <c:v>2010</c:v>
                </c:pt>
                <c:pt idx="489">
                  <c:v>2010</c:v>
                </c:pt>
                <c:pt idx="490">
                  <c:v>2010</c:v>
                </c:pt>
                <c:pt idx="491">
                  <c:v>2010</c:v>
                </c:pt>
                <c:pt idx="492">
                  <c:v>2011</c:v>
                </c:pt>
                <c:pt idx="493">
                  <c:v>2011</c:v>
                </c:pt>
                <c:pt idx="494">
                  <c:v>2011</c:v>
                </c:pt>
                <c:pt idx="495">
                  <c:v>2011</c:v>
                </c:pt>
                <c:pt idx="496">
                  <c:v>2011</c:v>
                </c:pt>
                <c:pt idx="497">
                  <c:v>2011</c:v>
                </c:pt>
                <c:pt idx="498">
                  <c:v>2011</c:v>
                </c:pt>
                <c:pt idx="499">
                  <c:v>2011</c:v>
                </c:pt>
                <c:pt idx="500">
                  <c:v>2011</c:v>
                </c:pt>
                <c:pt idx="501">
                  <c:v>2011</c:v>
                </c:pt>
                <c:pt idx="502">
                  <c:v>2011</c:v>
                </c:pt>
                <c:pt idx="503">
                  <c:v>2011</c:v>
                </c:pt>
                <c:pt idx="504">
                  <c:v>2012</c:v>
                </c:pt>
                <c:pt idx="505">
                  <c:v>2012</c:v>
                </c:pt>
                <c:pt idx="506">
                  <c:v>2012</c:v>
                </c:pt>
                <c:pt idx="507">
                  <c:v>2012</c:v>
                </c:pt>
                <c:pt idx="508">
                  <c:v>2012</c:v>
                </c:pt>
                <c:pt idx="509">
                  <c:v>2012</c:v>
                </c:pt>
                <c:pt idx="510">
                  <c:v>2012</c:v>
                </c:pt>
                <c:pt idx="511">
                  <c:v>2012</c:v>
                </c:pt>
                <c:pt idx="512">
                  <c:v>2012</c:v>
                </c:pt>
                <c:pt idx="513">
                  <c:v>2012</c:v>
                </c:pt>
                <c:pt idx="514">
                  <c:v>2012</c:v>
                </c:pt>
                <c:pt idx="515">
                  <c:v>2012</c:v>
                </c:pt>
                <c:pt idx="516">
                  <c:v>2013</c:v>
                </c:pt>
                <c:pt idx="517">
                  <c:v>2013</c:v>
                </c:pt>
                <c:pt idx="518">
                  <c:v>2013</c:v>
                </c:pt>
                <c:pt idx="519">
                  <c:v>2013</c:v>
                </c:pt>
                <c:pt idx="520">
                  <c:v>2013</c:v>
                </c:pt>
                <c:pt idx="521">
                  <c:v>2013</c:v>
                </c:pt>
                <c:pt idx="522">
                  <c:v>2013</c:v>
                </c:pt>
                <c:pt idx="523">
                  <c:v>2013</c:v>
                </c:pt>
                <c:pt idx="524">
                  <c:v>2013</c:v>
                </c:pt>
                <c:pt idx="525">
                  <c:v>2013</c:v>
                </c:pt>
                <c:pt idx="526">
                  <c:v>2013</c:v>
                </c:pt>
                <c:pt idx="527">
                  <c:v>2013</c:v>
                </c:pt>
                <c:pt idx="528">
                  <c:v>2014</c:v>
                </c:pt>
                <c:pt idx="529">
                  <c:v>2014</c:v>
                </c:pt>
                <c:pt idx="530">
                  <c:v>2014</c:v>
                </c:pt>
                <c:pt idx="531">
                  <c:v>2014</c:v>
                </c:pt>
                <c:pt idx="532">
                  <c:v>2014</c:v>
                </c:pt>
                <c:pt idx="533">
                  <c:v>2014</c:v>
                </c:pt>
                <c:pt idx="534">
                  <c:v>2014</c:v>
                </c:pt>
                <c:pt idx="535">
                  <c:v>2014</c:v>
                </c:pt>
                <c:pt idx="536">
                  <c:v>2014</c:v>
                </c:pt>
                <c:pt idx="537">
                  <c:v>2014</c:v>
                </c:pt>
                <c:pt idx="538">
                  <c:v>2014</c:v>
                </c:pt>
                <c:pt idx="539">
                  <c:v>2014</c:v>
                </c:pt>
                <c:pt idx="540">
                  <c:v>2015</c:v>
                </c:pt>
                <c:pt idx="541">
                  <c:v>2015</c:v>
                </c:pt>
                <c:pt idx="542">
                  <c:v>2015</c:v>
                </c:pt>
                <c:pt idx="543">
                  <c:v>2015</c:v>
                </c:pt>
                <c:pt idx="544">
                  <c:v>2015</c:v>
                </c:pt>
                <c:pt idx="545">
                  <c:v>2015</c:v>
                </c:pt>
                <c:pt idx="546">
                  <c:v>2015</c:v>
                </c:pt>
                <c:pt idx="547">
                  <c:v>2015</c:v>
                </c:pt>
              </c:numCache>
            </c:numRef>
          </c:cat>
          <c:val>
            <c:numRef>
              <c:f>'BLS Data Series'!$D$13:$D$560</c:f>
              <c:numCache>
                <c:formatCode>#0.0</c:formatCode>
                <c:ptCount val="548"/>
                <c:pt idx="0">
                  <c:v>3.9</c:v>
                </c:pt>
                <c:pt idx="1">
                  <c:v>4.2</c:v>
                </c:pt>
                <c:pt idx="2">
                  <c:v>4.4000000000000004</c:v>
                </c:pt>
                <c:pt idx="3">
                  <c:v>4.5999999999999996</c:v>
                </c:pt>
                <c:pt idx="4">
                  <c:v>4.8</c:v>
                </c:pt>
                <c:pt idx="5">
                  <c:v>4.9000000000000004</c:v>
                </c:pt>
                <c:pt idx="6">
                  <c:v>5</c:v>
                </c:pt>
                <c:pt idx="7">
                  <c:v>5.0999999999999996</c:v>
                </c:pt>
                <c:pt idx="8">
                  <c:v>5.4</c:v>
                </c:pt>
                <c:pt idx="9">
                  <c:v>5.5</c:v>
                </c:pt>
                <c:pt idx="10">
                  <c:v>5.9</c:v>
                </c:pt>
                <c:pt idx="11">
                  <c:v>6.1</c:v>
                </c:pt>
                <c:pt idx="12">
                  <c:v>5.9</c:v>
                </c:pt>
                <c:pt idx="13">
                  <c:v>5.9</c:v>
                </c:pt>
                <c:pt idx="14">
                  <c:v>6</c:v>
                </c:pt>
                <c:pt idx="15">
                  <c:v>5.9</c:v>
                </c:pt>
                <c:pt idx="16">
                  <c:v>5.9</c:v>
                </c:pt>
                <c:pt idx="17">
                  <c:v>5.9</c:v>
                </c:pt>
                <c:pt idx="18">
                  <c:v>6</c:v>
                </c:pt>
                <c:pt idx="19">
                  <c:v>6.1</c:v>
                </c:pt>
                <c:pt idx="20">
                  <c:v>6</c:v>
                </c:pt>
                <c:pt idx="21">
                  <c:v>5.8</c:v>
                </c:pt>
                <c:pt idx="22">
                  <c:v>6</c:v>
                </c:pt>
                <c:pt idx="23">
                  <c:v>6</c:v>
                </c:pt>
                <c:pt idx="24">
                  <c:v>5.8</c:v>
                </c:pt>
                <c:pt idx="25">
                  <c:v>5.7</c:v>
                </c:pt>
                <c:pt idx="26">
                  <c:v>5.8</c:v>
                </c:pt>
                <c:pt idx="27">
                  <c:v>5.7</c:v>
                </c:pt>
                <c:pt idx="28">
                  <c:v>5.7</c:v>
                </c:pt>
                <c:pt idx="29">
                  <c:v>5.7</c:v>
                </c:pt>
                <c:pt idx="30">
                  <c:v>5.6</c:v>
                </c:pt>
                <c:pt idx="31">
                  <c:v>5.6</c:v>
                </c:pt>
                <c:pt idx="32">
                  <c:v>5.5</c:v>
                </c:pt>
                <c:pt idx="33">
                  <c:v>5.6</c:v>
                </c:pt>
                <c:pt idx="34">
                  <c:v>5.3</c:v>
                </c:pt>
                <c:pt idx="35">
                  <c:v>5.2</c:v>
                </c:pt>
                <c:pt idx="36">
                  <c:v>4.9000000000000004</c:v>
                </c:pt>
                <c:pt idx="37">
                  <c:v>5</c:v>
                </c:pt>
                <c:pt idx="38">
                  <c:v>4.9000000000000004</c:v>
                </c:pt>
                <c:pt idx="39">
                  <c:v>5</c:v>
                </c:pt>
                <c:pt idx="40">
                  <c:v>4.9000000000000004</c:v>
                </c:pt>
                <c:pt idx="41">
                  <c:v>4.9000000000000004</c:v>
                </c:pt>
                <c:pt idx="42">
                  <c:v>4.8</c:v>
                </c:pt>
                <c:pt idx="43">
                  <c:v>4.8</c:v>
                </c:pt>
                <c:pt idx="44">
                  <c:v>4.8</c:v>
                </c:pt>
                <c:pt idx="45">
                  <c:v>4.5999999999999996</c:v>
                </c:pt>
                <c:pt idx="46">
                  <c:v>4.8</c:v>
                </c:pt>
                <c:pt idx="47">
                  <c:v>4.9000000000000004</c:v>
                </c:pt>
                <c:pt idx="48">
                  <c:v>5.0999999999999996</c:v>
                </c:pt>
                <c:pt idx="49">
                  <c:v>5.2</c:v>
                </c:pt>
                <c:pt idx="50">
                  <c:v>5.0999999999999996</c:v>
                </c:pt>
                <c:pt idx="51">
                  <c:v>5.0999999999999996</c:v>
                </c:pt>
                <c:pt idx="52">
                  <c:v>5.0999999999999996</c:v>
                </c:pt>
                <c:pt idx="53">
                  <c:v>5.4</c:v>
                </c:pt>
                <c:pt idx="54">
                  <c:v>5.5</c:v>
                </c:pt>
                <c:pt idx="55">
                  <c:v>5.5</c:v>
                </c:pt>
                <c:pt idx="56">
                  <c:v>5.9</c:v>
                </c:pt>
                <c:pt idx="57">
                  <c:v>6</c:v>
                </c:pt>
                <c:pt idx="58">
                  <c:v>6.6</c:v>
                </c:pt>
                <c:pt idx="59">
                  <c:v>7.2</c:v>
                </c:pt>
                <c:pt idx="60">
                  <c:v>8.1</c:v>
                </c:pt>
                <c:pt idx="61">
                  <c:v>8.1</c:v>
                </c:pt>
                <c:pt idx="62">
                  <c:v>8.6</c:v>
                </c:pt>
                <c:pt idx="63">
                  <c:v>8.8000000000000007</c:v>
                </c:pt>
                <c:pt idx="64">
                  <c:v>9</c:v>
                </c:pt>
                <c:pt idx="65">
                  <c:v>8.8000000000000007</c:v>
                </c:pt>
                <c:pt idx="66">
                  <c:v>8.6</c:v>
                </c:pt>
                <c:pt idx="67">
                  <c:v>8.4</c:v>
                </c:pt>
                <c:pt idx="68">
                  <c:v>8.4</c:v>
                </c:pt>
                <c:pt idx="69">
                  <c:v>8.4</c:v>
                </c:pt>
                <c:pt idx="70">
                  <c:v>8.3000000000000007</c:v>
                </c:pt>
                <c:pt idx="71">
                  <c:v>8.1999999999999993</c:v>
                </c:pt>
                <c:pt idx="72">
                  <c:v>7.9</c:v>
                </c:pt>
                <c:pt idx="73">
                  <c:v>7.7</c:v>
                </c:pt>
                <c:pt idx="74">
                  <c:v>7.6</c:v>
                </c:pt>
                <c:pt idx="75">
                  <c:v>7.7</c:v>
                </c:pt>
                <c:pt idx="76">
                  <c:v>7.4</c:v>
                </c:pt>
                <c:pt idx="77">
                  <c:v>7.6</c:v>
                </c:pt>
                <c:pt idx="78">
                  <c:v>7.8</c:v>
                </c:pt>
                <c:pt idx="79">
                  <c:v>7.8</c:v>
                </c:pt>
                <c:pt idx="80">
                  <c:v>7.6</c:v>
                </c:pt>
                <c:pt idx="81">
                  <c:v>7.7</c:v>
                </c:pt>
                <c:pt idx="82">
                  <c:v>7.8</c:v>
                </c:pt>
                <c:pt idx="83">
                  <c:v>7.8</c:v>
                </c:pt>
                <c:pt idx="84">
                  <c:v>7.5</c:v>
                </c:pt>
                <c:pt idx="85">
                  <c:v>7.6</c:v>
                </c:pt>
                <c:pt idx="86">
                  <c:v>7.4</c:v>
                </c:pt>
                <c:pt idx="87">
                  <c:v>7.2</c:v>
                </c:pt>
                <c:pt idx="88">
                  <c:v>7</c:v>
                </c:pt>
                <c:pt idx="89">
                  <c:v>7.2</c:v>
                </c:pt>
                <c:pt idx="90">
                  <c:v>6.9</c:v>
                </c:pt>
                <c:pt idx="91">
                  <c:v>7</c:v>
                </c:pt>
                <c:pt idx="92">
                  <c:v>6.8</c:v>
                </c:pt>
                <c:pt idx="93">
                  <c:v>6.8</c:v>
                </c:pt>
                <c:pt idx="94">
                  <c:v>6.8</c:v>
                </c:pt>
                <c:pt idx="95">
                  <c:v>6.4</c:v>
                </c:pt>
                <c:pt idx="96">
                  <c:v>6.4</c:v>
                </c:pt>
                <c:pt idx="97">
                  <c:v>6.3</c:v>
                </c:pt>
                <c:pt idx="98">
                  <c:v>6.3</c:v>
                </c:pt>
                <c:pt idx="99">
                  <c:v>6.1</c:v>
                </c:pt>
                <c:pt idx="100">
                  <c:v>6</c:v>
                </c:pt>
                <c:pt idx="101">
                  <c:v>5.9</c:v>
                </c:pt>
                <c:pt idx="102">
                  <c:v>6.2</c:v>
                </c:pt>
                <c:pt idx="103">
                  <c:v>5.9</c:v>
                </c:pt>
                <c:pt idx="104">
                  <c:v>6</c:v>
                </c:pt>
                <c:pt idx="105">
                  <c:v>5.8</c:v>
                </c:pt>
                <c:pt idx="106">
                  <c:v>5.9</c:v>
                </c:pt>
                <c:pt idx="107">
                  <c:v>6</c:v>
                </c:pt>
                <c:pt idx="108">
                  <c:v>5.9</c:v>
                </c:pt>
                <c:pt idx="109">
                  <c:v>5.9</c:v>
                </c:pt>
                <c:pt idx="110">
                  <c:v>5.8</c:v>
                </c:pt>
                <c:pt idx="111">
                  <c:v>5.8</c:v>
                </c:pt>
                <c:pt idx="112">
                  <c:v>5.6</c:v>
                </c:pt>
                <c:pt idx="113">
                  <c:v>5.7</c:v>
                </c:pt>
                <c:pt idx="114">
                  <c:v>5.7</c:v>
                </c:pt>
                <c:pt idx="115">
                  <c:v>6</c:v>
                </c:pt>
                <c:pt idx="116">
                  <c:v>5.9</c:v>
                </c:pt>
                <c:pt idx="117">
                  <c:v>6</c:v>
                </c:pt>
                <c:pt idx="118">
                  <c:v>5.9</c:v>
                </c:pt>
                <c:pt idx="119">
                  <c:v>6</c:v>
                </c:pt>
                <c:pt idx="120">
                  <c:v>6.3</c:v>
                </c:pt>
                <c:pt idx="121">
                  <c:v>6.3</c:v>
                </c:pt>
                <c:pt idx="122">
                  <c:v>6.3</c:v>
                </c:pt>
                <c:pt idx="123">
                  <c:v>6.9</c:v>
                </c:pt>
                <c:pt idx="124">
                  <c:v>7.5</c:v>
                </c:pt>
                <c:pt idx="125">
                  <c:v>7.6</c:v>
                </c:pt>
                <c:pt idx="126">
                  <c:v>7.8</c:v>
                </c:pt>
                <c:pt idx="127">
                  <c:v>7.7</c:v>
                </c:pt>
                <c:pt idx="128">
                  <c:v>7.5</c:v>
                </c:pt>
                <c:pt idx="129">
                  <c:v>7.5</c:v>
                </c:pt>
                <c:pt idx="130">
                  <c:v>7.5</c:v>
                </c:pt>
                <c:pt idx="131">
                  <c:v>7.2</c:v>
                </c:pt>
                <c:pt idx="132">
                  <c:v>7.5</c:v>
                </c:pt>
                <c:pt idx="133">
                  <c:v>7.4</c:v>
                </c:pt>
                <c:pt idx="134">
                  <c:v>7.4</c:v>
                </c:pt>
                <c:pt idx="135">
                  <c:v>7.2</c:v>
                </c:pt>
                <c:pt idx="136">
                  <c:v>7.5</c:v>
                </c:pt>
                <c:pt idx="137">
                  <c:v>7.5</c:v>
                </c:pt>
                <c:pt idx="138">
                  <c:v>7.2</c:v>
                </c:pt>
                <c:pt idx="139">
                  <c:v>7.4</c:v>
                </c:pt>
                <c:pt idx="140">
                  <c:v>7.6</c:v>
                </c:pt>
                <c:pt idx="141">
                  <c:v>7.9</c:v>
                </c:pt>
                <c:pt idx="142">
                  <c:v>8.3000000000000007</c:v>
                </c:pt>
                <c:pt idx="143">
                  <c:v>8.5</c:v>
                </c:pt>
                <c:pt idx="144">
                  <c:v>8.6</c:v>
                </c:pt>
                <c:pt idx="145">
                  <c:v>8.9</c:v>
                </c:pt>
                <c:pt idx="146">
                  <c:v>9</c:v>
                </c:pt>
                <c:pt idx="147">
                  <c:v>9.3000000000000007</c:v>
                </c:pt>
                <c:pt idx="148">
                  <c:v>9.4</c:v>
                </c:pt>
                <c:pt idx="149">
                  <c:v>9.6</c:v>
                </c:pt>
                <c:pt idx="150">
                  <c:v>9.8000000000000007</c:v>
                </c:pt>
                <c:pt idx="151">
                  <c:v>9.8000000000000007</c:v>
                </c:pt>
                <c:pt idx="152">
                  <c:v>10.1</c:v>
                </c:pt>
                <c:pt idx="153">
                  <c:v>10.4</c:v>
                </c:pt>
                <c:pt idx="154">
                  <c:v>10.8</c:v>
                </c:pt>
                <c:pt idx="155">
                  <c:v>10.8</c:v>
                </c:pt>
                <c:pt idx="156">
                  <c:v>10.4</c:v>
                </c:pt>
                <c:pt idx="157">
                  <c:v>10.4</c:v>
                </c:pt>
                <c:pt idx="158">
                  <c:v>10.3</c:v>
                </c:pt>
                <c:pt idx="159">
                  <c:v>10.199999999999999</c:v>
                </c:pt>
                <c:pt idx="160">
                  <c:v>10.1</c:v>
                </c:pt>
                <c:pt idx="161">
                  <c:v>10.1</c:v>
                </c:pt>
                <c:pt idx="162">
                  <c:v>9.4</c:v>
                </c:pt>
                <c:pt idx="163">
                  <c:v>9.5</c:v>
                </c:pt>
                <c:pt idx="164">
                  <c:v>9.1999999999999993</c:v>
                </c:pt>
                <c:pt idx="165">
                  <c:v>8.8000000000000007</c:v>
                </c:pt>
                <c:pt idx="166">
                  <c:v>8.5</c:v>
                </c:pt>
                <c:pt idx="167">
                  <c:v>8.3000000000000007</c:v>
                </c:pt>
                <c:pt idx="168">
                  <c:v>8</c:v>
                </c:pt>
                <c:pt idx="169">
                  <c:v>7.8</c:v>
                </c:pt>
                <c:pt idx="170">
                  <c:v>7.8</c:v>
                </c:pt>
                <c:pt idx="171">
                  <c:v>7.7</c:v>
                </c:pt>
                <c:pt idx="172">
                  <c:v>7.4</c:v>
                </c:pt>
                <c:pt idx="173">
                  <c:v>7.2</c:v>
                </c:pt>
                <c:pt idx="174">
                  <c:v>7.5</c:v>
                </c:pt>
                <c:pt idx="175">
                  <c:v>7.5</c:v>
                </c:pt>
                <c:pt idx="176">
                  <c:v>7.3</c:v>
                </c:pt>
                <c:pt idx="177">
                  <c:v>7.4</c:v>
                </c:pt>
                <c:pt idx="178">
                  <c:v>7.2</c:v>
                </c:pt>
                <c:pt idx="179">
                  <c:v>7.3</c:v>
                </c:pt>
                <c:pt idx="180">
                  <c:v>7.3</c:v>
                </c:pt>
                <c:pt idx="181">
                  <c:v>7.2</c:v>
                </c:pt>
                <c:pt idx="182">
                  <c:v>7.2</c:v>
                </c:pt>
                <c:pt idx="183">
                  <c:v>7.3</c:v>
                </c:pt>
                <c:pt idx="184">
                  <c:v>7.2</c:v>
                </c:pt>
                <c:pt idx="185">
                  <c:v>7.4</c:v>
                </c:pt>
                <c:pt idx="186">
                  <c:v>7.4</c:v>
                </c:pt>
                <c:pt idx="187">
                  <c:v>7.1</c:v>
                </c:pt>
                <c:pt idx="188">
                  <c:v>7.1</c:v>
                </c:pt>
                <c:pt idx="189">
                  <c:v>7.1</c:v>
                </c:pt>
                <c:pt idx="190">
                  <c:v>7</c:v>
                </c:pt>
                <c:pt idx="191">
                  <c:v>7</c:v>
                </c:pt>
                <c:pt idx="192">
                  <c:v>6.7</c:v>
                </c:pt>
                <c:pt idx="193">
                  <c:v>7.2</c:v>
                </c:pt>
                <c:pt idx="194">
                  <c:v>7.2</c:v>
                </c:pt>
                <c:pt idx="195">
                  <c:v>7.1</c:v>
                </c:pt>
                <c:pt idx="196">
                  <c:v>7.2</c:v>
                </c:pt>
                <c:pt idx="197">
                  <c:v>7.2</c:v>
                </c:pt>
                <c:pt idx="198">
                  <c:v>7</c:v>
                </c:pt>
                <c:pt idx="199">
                  <c:v>6.9</c:v>
                </c:pt>
                <c:pt idx="200">
                  <c:v>7</c:v>
                </c:pt>
                <c:pt idx="201">
                  <c:v>7</c:v>
                </c:pt>
                <c:pt idx="202">
                  <c:v>6.9</c:v>
                </c:pt>
                <c:pt idx="203">
                  <c:v>6.6</c:v>
                </c:pt>
                <c:pt idx="204">
                  <c:v>6.6</c:v>
                </c:pt>
                <c:pt idx="205">
                  <c:v>6.6</c:v>
                </c:pt>
                <c:pt idx="206">
                  <c:v>6.6</c:v>
                </c:pt>
                <c:pt idx="207">
                  <c:v>6.3</c:v>
                </c:pt>
                <c:pt idx="208">
                  <c:v>6.3</c:v>
                </c:pt>
                <c:pt idx="209">
                  <c:v>6.2</c:v>
                </c:pt>
                <c:pt idx="210">
                  <c:v>6.1</c:v>
                </c:pt>
                <c:pt idx="211">
                  <c:v>6</c:v>
                </c:pt>
                <c:pt idx="212">
                  <c:v>5.9</c:v>
                </c:pt>
                <c:pt idx="213">
                  <c:v>6</c:v>
                </c:pt>
                <c:pt idx="214">
                  <c:v>5.8</c:v>
                </c:pt>
                <c:pt idx="215">
                  <c:v>5.7</c:v>
                </c:pt>
                <c:pt idx="216">
                  <c:v>5.7</c:v>
                </c:pt>
                <c:pt idx="217">
                  <c:v>5.7</c:v>
                </c:pt>
                <c:pt idx="218">
                  <c:v>5.7</c:v>
                </c:pt>
                <c:pt idx="219">
                  <c:v>5.4</c:v>
                </c:pt>
                <c:pt idx="220">
                  <c:v>5.6</c:v>
                </c:pt>
                <c:pt idx="221">
                  <c:v>5.4</c:v>
                </c:pt>
                <c:pt idx="222">
                  <c:v>5.4</c:v>
                </c:pt>
                <c:pt idx="223">
                  <c:v>5.6</c:v>
                </c:pt>
                <c:pt idx="224">
                  <c:v>5.4</c:v>
                </c:pt>
                <c:pt idx="225">
                  <c:v>5.4</c:v>
                </c:pt>
                <c:pt idx="226">
                  <c:v>5.3</c:v>
                </c:pt>
                <c:pt idx="227">
                  <c:v>5.3</c:v>
                </c:pt>
                <c:pt idx="228">
                  <c:v>5.4</c:v>
                </c:pt>
                <c:pt idx="229">
                  <c:v>5.2</c:v>
                </c:pt>
                <c:pt idx="230">
                  <c:v>5</c:v>
                </c:pt>
                <c:pt idx="231">
                  <c:v>5.2</c:v>
                </c:pt>
                <c:pt idx="232">
                  <c:v>5.2</c:v>
                </c:pt>
                <c:pt idx="233">
                  <c:v>5.3</c:v>
                </c:pt>
                <c:pt idx="234">
                  <c:v>5.2</c:v>
                </c:pt>
                <c:pt idx="235">
                  <c:v>5.2</c:v>
                </c:pt>
                <c:pt idx="236">
                  <c:v>5.3</c:v>
                </c:pt>
                <c:pt idx="237">
                  <c:v>5.3</c:v>
                </c:pt>
                <c:pt idx="238">
                  <c:v>5.4</c:v>
                </c:pt>
                <c:pt idx="239">
                  <c:v>5.4</c:v>
                </c:pt>
                <c:pt idx="240">
                  <c:v>5.4</c:v>
                </c:pt>
                <c:pt idx="241">
                  <c:v>5.3</c:v>
                </c:pt>
                <c:pt idx="242">
                  <c:v>5.2</c:v>
                </c:pt>
                <c:pt idx="243">
                  <c:v>5.4</c:v>
                </c:pt>
                <c:pt idx="244">
                  <c:v>5.4</c:v>
                </c:pt>
                <c:pt idx="245">
                  <c:v>5.2</c:v>
                </c:pt>
                <c:pt idx="246">
                  <c:v>5.5</c:v>
                </c:pt>
                <c:pt idx="247">
                  <c:v>5.7</c:v>
                </c:pt>
                <c:pt idx="248">
                  <c:v>5.9</c:v>
                </c:pt>
                <c:pt idx="249">
                  <c:v>5.9</c:v>
                </c:pt>
                <c:pt idx="250">
                  <c:v>6.2</c:v>
                </c:pt>
                <c:pt idx="251">
                  <c:v>6.3</c:v>
                </c:pt>
                <c:pt idx="252">
                  <c:v>6.4</c:v>
                </c:pt>
                <c:pt idx="253">
                  <c:v>6.6</c:v>
                </c:pt>
                <c:pt idx="254">
                  <c:v>6.8</c:v>
                </c:pt>
                <c:pt idx="255">
                  <c:v>6.7</c:v>
                </c:pt>
                <c:pt idx="256">
                  <c:v>6.9</c:v>
                </c:pt>
                <c:pt idx="257">
                  <c:v>6.9</c:v>
                </c:pt>
                <c:pt idx="258">
                  <c:v>6.8</c:v>
                </c:pt>
                <c:pt idx="259">
                  <c:v>6.9</c:v>
                </c:pt>
                <c:pt idx="260">
                  <c:v>6.9</c:v>
                </c:pt>
                <c:pt idx="261">
                  <c:v>7</c:v>
                </c:pt>
                <c:pt idx="262">
                  <c:v>7</c:v>
                </c:pt>
                <c:pt idx="263">
                  <c:v>7.3</c:v>
                </c:pt>
                <c:pt idx="264">
                  <c:v>7.3</c:v>
                </c:pt>
                <c:pt idx="265">
                  <c:v>7.4</c:v>
                </c:pt>
                <c:pt idx="266">
                  <c:v>7.4</c:v>
                </c:pt>
                <c:pt idx="267">
                  <c:v>7.4</c:v>
                </c:pt>
                <c:pt idx="268">
                  <c:v>7.6</c:v>
                </c:pt>
                <c:pt idx="269">
                  <c:v>7.8</c:v>
                </c:pt>
                <c:pt idx="270">
                  <c:v>7.7</c:v>
                </c:pt>
                <c:pt idx="271">
                  <c:v>7.6</c:v>
                </c:pt>
                <c:pt idx="272">
                  <c:v>7.6</c:v>
                </c:pt>
                <c:pt idx="273">
                  <c:v>7.3</c:v>
                </c:pt>
                <c:pt idx="274">
                  <c:v>7.4</c:v>
                </c:pt>
                <c:pt idx="275">
                  <c:v>7.4</c:v>
                </c:pt>
                <c:pt idx="276">
                  <c:v>7.3</c:v>
                </c:pt>
                <c:pt idx="277">
                  <c:v>7.1</c:v>
                </c:pt>
                <c:pt idx="278">
                  <c:v>7</c:v>
                </c:pt>
                <c:pt idx="279">
                  <c:v>7.1</c:v>
                </c:pt>
                <c:pt idx="280">
                  <c:v>7.1</c:v>
                </c:pt>
                <c:pt idx="281">
                  <c:v>7</c:v>
                </c:pt>
                <c:pt idx="282">
                  <c:v>6.9</c:v>
                </c:pt>
                <c:pt idx="283">
                  <c:v>6.8</c:v>
                </c:pt>
                <c:pt idx="284">
                  <c:v>6.7</c:v>
                </c:pt>
                <c:pt idx="285">
                  <c:v>6.8</c:v>
                </c:pt>
                <c:pt idx="286">
                  <c:v>6.6</c:v>
                </c:pt>
                <c:pt idx="287">
                  <c:v>6.5</c:v>
                </c:pt>
                <c:pt idx="288">
                  <c:v>6.6</c:v>
                </c:pt>
                <c:pt idx="289">
                  <c:v>6.6</c:v>
                </c:pt>
                <c:pt idx="290">
                  <c:v>6.5</c:v>
                </c:pt>
                <c:pt idx="291">
                  <c:v>6.4</c:v>
                </c:pt>
                <c:pt idx="292">
                  <c:v>6.1</c:v>
                </c:pt>
                <c:pt idx="293">
                  <c:v>6.1</c:v>
                </c:pt>
                <c:pt idx="294">
                  <c:v>6.1</c:v>
                </c:pt>
                <c:pt idx="295">
                  <c:v>6</c:v>
                </c:pt>
                <c:pt idx="296">
                  <c:v>5.9</c:v>
                </c:pt>
                <c:pt idx="297">
                  <c:v>5.8</c:v>
                </c:pt>
                <c:pt idx="298">
                  <c:v>5.6</c:v>
                </c:pt>
                <c:pt idx="299">
                  <c:v>5.5</c:v>
                </c:pt>
                <c:pt idx="300">
                  <c:v>5.6</c:v>
                </c:pt>
                <c:pt idx="301">
                  <c:v>5.4</c:v>
                </c:pt>
                <c:pt idx="302">
                  <c:v>5.4</c:v>
                </c:pt>
                <c:pt idx="303">
                  <c:v>5.8</c:v>
                </c:pt>
                <c:pt idx="304">
                  <c:v>5.6</c:v>
                </c:pt>
                <c:pt idx="305">
                  <c:v>5.6</c:v>
                </c:pt>
                <c:pt idx="306">
                  <c:v>5.7</c:v>
                </c:pt>
                <c:pt idx="307">
                  <c:v>5.7</c:v>
                </c:pt>
                <c:pt idx="308">
                  <c:v>5.6</c:v>
                </c:pt>
                <c:pt idx="309">
                  <c:v>5.5</c:v>
                </c:pt>
                <c:pt idx="310">
                  <c:v>5.6</c:v>
                </c:pt>
                <c:pt idx="311">
                  <c:v>5.6</c:v>
                </c:pt>
                <c:pt idx="312">
                  <c:v>5.6</c:v>
                </c:pt>
                <c:pt idx="313">
                  <c:v>5.5</c:v>
                </c:pt>
                <c:pt idx="314">
                  <c:v>5.5</c:v>
                </c:pt>
                <c:pt idx="315">
                  <c:v>5.6</c:v>
                </c:pt>
                <c:pt idx="316">
                  <c:v>5.6</c:v>
                </c:pt>
                <c:pt idx="317">
                  <c:v>5.3</c:v>
                </c:pt>
                <c:pt idx="318">
                  <c:v>5.5</c:v>
                </c:pt>
                <c:pt idx="319">
                  <c:v>5.0999999999999996</c:v>
                </c:pt>
                <c:pt idx="320">
                  <c:v>5.2</c:v>
                </c:pt>
                <c:pt idx="321">
                  <c:v>5.2</c:v>
                </c:pt>
                <c:pt idx="322">
                  <c:v>5.4</c:v>
                </c:pt>
                <c:pt idx="323">
                  <c:v>5.4</c:v>
                </c:pt>
                <c:pt idx="324">
                  <c:v>5.3</c:v>
                </c:pt>
                <c:pt idx="325">
                  <c:v>5.2</c:v>
                </c:pt>
                <c:pt idx="326">
                  <c:v>5.2</c:v>
                </c:pt>
                <c:pt idx="327">
                  <c:v>5.0999999999999996</c:v>
                </c:pt>
                <c:pt idx="328">
                  <c:v>4.9000000000000004</c:v>
                </c:pt>
                <c:pt idx="329">
                  <c:v>5</c:v>
                </c:pt>
                <c:pt idx="330">
                  <c:v>4.9000000000000004</c:v>
                </c:pt>
                <c:pt idx="331">
                  <c:v>4.8</c:v>
                </c:pt>
                <c:pt idx="332">
                  <c:v>4.9000000000000004</c:v>
                </c:pt>
                <c:pt idx="333">
                  <c:v>4.7</c:v>
                </c:pt>
                <c:pt idx="334">
                  <c:v>4.5999999999999996</c:v>
                </c:pt>
                <c:pt idx="335">
                  <c:v>4.7</c:v>
                </c:pt>
                <c:pt idx="336">
                  <c:v>4.5999999999999996</c:v>
                </c:pt>
                <c:pt idx="337">
                  <c:v>4.5999999999999996</c:v>
                </c:pt>
                <c:pt idx="338">
                  <c:v>4.7</c:v>
                </c:pt>
                <c:pt idx="339">
                  <c:v>4.3</c:v>
                </c:pt>
                <c:pt idx="340">
                  <c:v>4.4000000000000004</c:v>
                </c:pt>
                <c:pt idx="341">
                  <c:v>4.5</c:v>
                </c:pt>
                <c:pt idx="342">
                  <c:v>4.5</c:v>
                </c:pt>
                <c:pt idx="343">
                  <c:v>4.5</c:v>
                </c:pt>
                <c:pt idx="344">
                  <c:v>4.5999999999999996</c:v>
                </c:pt>
                <c:pt idx="345">
                  <c:v>4.5</c:v>
                </c:pt>
                <c:pt idx="346">
                  <c:v>4.4000000000000004</c:v>
                </c:pt>
                <c:pt idx="347">
                  <c:v>4.4000000000000004</c:v>
                </c:pt>
                <c:pt idx="348">
                  <c:v>4.3</c:v>
                </c:pt>
                <c:pt idx="349">
                  <c:v>4.4000000000000004</c:v>
                </c:pt>
                <c:pt idx="350">
                  <c:v>4.2</c:v>
                </c:pt>
                <c:pt idx="351">
                  <c:v>4.3</c:v>
                </c:pt>
                <c:pt idx="352">
                  <c:v>4.2</c:v>
                </c:pt>
                <c:pt idx="353">
                  <c:v>4.3</c:v>
                </c:pt>
                <c:pt idx="354">
                  <c:v>4.3</c:v>
                </c:pt>
                <c:pt idx="355">
                  <c:v>4.2</c:v>
                </c:pt>
                <c:pt idx="356">
                  <c:v>4.2</c:v>
                </c:pt>
                <c:pt idx="357">
                  <c:v>4.0999999999999996</c:v>
                </c:pt>
                <c:pt idx="358">
                  <c:v>4.0999999999999996</c:v>
                </c:pt>
                <c:pt idx="359">
                  <c:v>4</c:v>
                </c:pt>
                <c:pt idx="360">
                  <c:v>4</c:v>
                </c:pt>
                <c:pt idx="361">
                  <c:v>4.0999999999999996</c:v>
                </c:pt>
                <c:pt idx="362">
                  <c:v>4</c:v>
                </c:pt>
                <c:pt idx="363">
                  <c:v>3.8</c:v>
                </c:pt>
                <c:pt idx="364">
                  <c:v>4</c:v>
                </c:pt>
                <c:pt idx="365">
                  <c:v>4</c:v>
                </c:pt>
                <c:pt idx="366">
                  <c:v>4</c:v>
                </c:pt>
                <c:pt idx="367">
                  <c:v>4.0999999999999996</c:v>
                </c:pt>
                <c:pt idx="368">
                  <c:v>3.9</c:v>
                </c:pt>
                <c:pt idx="369">
                  <c:v>3.9</c:v>
                </c:pt>
                <c:pt idx="370">
                  <c:v>3.9</c:v>
                </c:pt>
                <c:pt idx="371">
                  <c:v>3.9</c:v>
                </c:pt>
                <c:pt idx="372">
                  <c:v>4.2</c:v>
                </c:pt>
                <c:pt idx="373">
                  <c:v>4.2</c:v>
                </c:pt>
                <c:pt idx="374">
                  <c:v>4.3</c:v>
                </c:pt>
                <c:pt idx="375">
                  <c:v>4.4000000000000004</c:v>
                </c:pt>
                <c:pt idx="376">
                  <c:v>4.3</c:v>
                </c:pt>
                <c:pt idx="377">
                  <c:v>4.5</c:v>
                </c:pt>
                <c:pt idx="378">
                  <c:v>4.5999999999999996</c:v>
                </c:pt>
                <c:pt idx="379">
                  <c:v>4.9000000000000004</c:v>
                </c:pt>
                <c:pt idx="380">
                  <c:v>5</c:v>
                </c:pt>
                <c:pt idx="381">
                  <c:v>5.3</c:v>
                </c:pt>
                <c:pt idx="382">
                  <c:v>5.5</c:v>
                </c:pt>
                <c:pt idx="383">
                  <c:v>5.7</c:v>
                </c:pt>
                <c:pt idx="384">
                  <c:v>5.7</c:v>
                </c:pt>
                <c:pt idx="385">
                  <c:v>5.7</c:v>
                </c:pt>
                <c:pt idx="386">
                  <c:v>5.7</c:v>
                </c:pt>
                <c:pt idx="387">
                  <c:v>5.9</c:v>
                </c:pt>
                <c:pt idx="388">
                  <c:v>5.8</c:v>
                </c:pt>
                <c:pt idx="389">
                  <c:v>5.8</c:v>
                </c:pt>
                <c:pt idx="390">
                  <c:v>5.8</c:v>
                </c:pt>
                <c:pt idx="391">
                  <c:v>5.7</c:v>
                </c:pt>
                <c:pt idx="392">
                  <c:v>5.7</c:v>
                </c:pt>
                <c:pt idx="393">
                  <c:v>5.7</c:v>
                </c:pt>
                <c:pt idx="394">
                  <c:v>5.9</c:v>
                </c:pt>
                <c:pt idx="395">
                  <c:v>6</c:v>
                </c:pt>
                <c:pt idx="396">
                  <c:v>5.8</c:v>
                </c:pt>
                <c:pt idx="397">
                  <c:v>5.9</c:v>
                </c:pt>
                <c:pt idx="398">
                  <c:v>5.9</c:v>
                </c:pt>
                <c:pt idx="399">
                  <c:v>6</c:v>
                </c:pt>
                <c:pt idx="400">
                  <c:v>6.1</c:v>
                </c:pt>
                <c:pt idx="401">
                  <c:v>6.3</c:v>
                </c:pt>
                <c:pt idx="402">
                  <c:v>6.2</c:v>
                </c:pt>
                <c:pt idx="403">
                  <c:v>6.1</c:v>
                </c:pt>
                <c:pt idx="404">
                  <c:v>6.1</c:v>
                </c:pt>
                <c:pt idx="405">
                  <c:v>6</c:v>
                </c:pt>
                <c:pt idx="406">
                  <c:v>5.8</c:v>
                </c:pt>
                <c:pt idx="407">
                  <c:v>5.7</c:v>
                </c:pt>
                <c:pt idx="408">
                  <c:v>5.7</c:v>
                </c:pt>
                <c:pt idx="409">
                  <c:v>5.6</c:v>
                </c:pt>
                <c:pt idx="410">
                  <c:v>5.8</c:v>
                </c:pt>
                <c:pt idx="411">
                  <c:v>5.6</c:v>
                </c:pt>
                <c:pt idx="412">
                  <c:v>5.6</c:v>
                </c:pt>
                <c:pt idx="413">
                  <c:v>5.6</c:v>
                </c:pt>
                <c:pt idx="414">
                  <c:v>5.5</c:v>
                </c:pt>
                <c:pt idx="415">
                  <c:v>5.4</c:v>
                </c:pt>
                <c:pt idx="416">
                  <c:v>5.4</c:v>
                </c:pt>
                <c:pt idx="417">
                  <c:v>5.5</c:v>
                </c:pt>
                <c:pt idx="418">
                  <c:v>5.4</c:v>
                </c:pt>
                <c:pt idx="419">
                  <c:v>5.4</c:v>
                </c:pt>
                <c:pt idx="420">
                  <c:v>5.3</c:v>
                </c:pt>
                <c:pt idx="421">
                  <c:v>5.4</c:v>
                </c:pt>
                <c:pt idx="422">
                  <c:v>5.2</c:v>
                </c:pt>
                <c:pt idx="423">
                  <c:v>5.2</c:v>
                </c:pt>
                <c:pt idx="424">
                  <c:v>5.0999999999999996</c:v>
                </c:pt>
                <c:pt idx="425">
                  <c:v>5</c:v>
                </c:pt>
                <c:pt idx="426">
                  <c:v>5</c:v>
                </c:pt>
                <c:pt idx="427">
                  <c:v>4.9000000000000004</c:v>
                </c:pt>
                <c:pt idx="428">
                  <c:v>5</c:v>
                </c:pt>
                <c:pt idx="429">
                  <c:v>5</c:v>
                </c:pt>
                <c:pt idx="430">
                  <c:v>5</c:v>
                </c:pt>
                <c:pt idx="431">
                  <c:v>4.9000000000000004</c:v>
                </c:pt>
                <c:pt idx="432">
                  <c:v>4.7</c:v>
                </c:pt>
                <c:pt idx="433">
                  <c:v>4.8</c:v>
                </c:pt>
                <c:pt idx="434">
                  <c:v>4.7</c:v>
                </c:pt>
                <c:pt idx="435">
                  <c:v>4.7</c:v>
                </c:pt>
                <c:pt idx="436">
                  <c:v>4.5999999999999996</c:v>
                </c:pt>
                <c:pt idx="437">
                  <c:v>4.5999999999999996</c:v>
                </c:pt>
                <c:pt idx="438">
                  <c:v>4.7</c:v>
                </c:pt>
                <c:pt idx="439">
                  <c:v>4.7</c:v>
                </c:pt>
                <c:pt idx="440">
                  <c:v>4.5</c:v>
                </c:pt>
                <c:pt idx="441">
                  <c:v>4.4000000000000004</c:v>
                </c:pt>
                <c:pt idx="442">
                  <c:v>4.5</c:v>
                </c:pt>
                <c:pt idx="443">
                  <c:v>4.4000000000000004</c:v>
                </c:pt>
                <c:pt idx="444">
                  <c:v>4.5999999999999996</c:v>
                </c:pt>
                <c:pt idx="445">
                  <c:v>4.5</c:v>
                </c:pt>
                <c:pt idx="446">
                  <c:v>4.4000000000000004</c:v>
                </c:pt>
                <c:pt idx="447">
                  <c:v>4.5</c:v>
                </c:pt>
                <c:pt idx="448">
                  <c:v>4.4000000000000004</c:v>
                </c:pt>
                <c:pt idx="449">
                  <c:v>4.5999999999999996</c:v>
                </c:pt>
                <c:pt idx="450">
                  <c:v>4.7</c:v>
                </c:pt>
                <c:pt idx="451">
                  <c:v>4.5999999999999996</c:v>
                </c:pt>
                <c:pt idx="452">
                  <c:v>4.7</c:v>
                </c:pt>
                <c:pt idx="453">
                  <c:v>4.7</c:v>
                </c:pt>
                <c:pt idx="454">
                  <c:v>4.7</c:v>
                </c:pt>
                <c:pt idx="455">
                  <c:v>5</c:v>
                </c:pt>
                <c:pt idx="456">
                  <c:v>5</c:v>
                </c:pt>
                <c:pt idx="457">
                  <c:v>4.9000000000000004</c:v>
                </c:pt>
                <c:pt idx="458">
                  <c:v>5.0999999999999996</c:v>
                </c:pt>
                <c:pt idx="459">
                  <c:v>5</c:v>
                </c:pt>
                <c:pt idx="460">
                  <c:v>5.4</c:v>
                </c:pt>
                <c:pt idx="461">
                  <c:v>5.6</c:v>
                </c:pt>
                <c:pt idx="462">
                  <c:v>5.8</c:v>
                </c:pt>
                <c:pt idx="463">
                  <c:v>6.1</c:v>
                </c:pt>
                <c:pt idx="464">
                  <c:v>6.1</c:v>
                </c:pt>
                <c:pt idx="465">
                  <c:v>6.5</c:v>
                </c:pt>
                <c:pt idx="466">
                  <c:v>6.8</c:v>
                </c:pt>
                <c:pt idx="467">
                  <c:v>7.3</c:v>
                </c:pt>
                <c:pt idx="468">
                  <c:v>7.8</c:v>
                </c:pt>
                <c:pt idx="469">
                  <c:v>8.3000000000000007</c:v>
                </c:pt>
                <c:pt idx="470">
                  <c:v>8.6999999999999993</c:v>
                </c:pt>
                <c:pt idx="471">
                  <c:v>9</c:v>
                </c:pt>
                <c:pt idx="472">
                  <c:v>9.4</c:v>
                </c:pt>
                <c:pt idx="473">
                  <c:v>9.5</c:v>
                </c:pt>
                <c:pt idx="474">
                  <c:v>9.5</c:v>
                </c:pt>
                <c:pt idx="475">
                  <c:v>9.6</c:v>
                </c:pt>
                <c:pt idx="476">
                  <c:v>9.8000000000000007</c:v>
                </c:pt>
                <c:pt idx="477">
                  <c:v>10</c:v>
                </c:pt>
                <c:pt idx="478">
                  <c:v>9.9</c:v>
                </c:pt>
                <c:pt idx="479">
                  <c:v>9.9</c:v>
                </c:pt>
                <c:pt idx="480">
                  <c:v>9.8000000000000007</c:v>
                </c:pt>
                <c:pt idx="481">
                  <c:v>9.8000000000000007</c:v>
                </c:pt>
                <c:pt idx="482">
                  <c:v>9.9</c:v>
                </c:pt>
                <c:pt idx="483">
                  <c:v>9.9</c:v>
                </c:pt>
                <c:pt idx="484">
                  <c:v>9.6</c:v>
                </c:pt>
                <c:pt idx="485">
                  <c:v>9.4</c:v>
                </c:pt>
                <c:pt idx="486">
                  <c:v>9.4</c:v>
                </c:pt>
                <c:pt idx="487">
                  <c:v>9.5</c:v>
                </c:pt>
                <c:pt idx="488">
                  <c:v>9.5</c:v>
                </c:pt>
                <c:pt idx="489">
                  <c:v>9.4</c:v>
                </c:pt>
                <c:pt idx="490">
                  <c:v>9.8000000000000007</c:v>
                </c:pt>
                <c:pt idx="491">
                  <c:v>9.3000000000000007</c:v>
                </c:pt>
                <c:pt idx="492">
                  <c:v>9.1999999999999993</c:v>
                </c:pt>
                <c:pt idx="493">
                  <c:v>9</c:v>
                </c:pt>
                <c:pt idx="494">
                  <c:v>9</c:v>
                </c:pt>
                <c:pt idx="495">
                  <c:v>9.1</c:v>
                </c:pt>
                <c:pt idx="496">
                  <c:v>9</c:v>
                </c:pt>
                <c:pt idx="497">
                  <c:v>9.1</c:v>
                </c:pt>
                <c:pt idx="498">
                  <c:v>9</c:v>
                </c:pt>
                <c:pt idx="499">
                  <c:v>9</c:v>
                </c:pt>
                <c:pt idx="500">
                  <c:v>9</c:v>
                </c:pt>
                <c:pt idx="501">
                  <c:v>8.8000000000000007</c:v>
                </c:pt>
                <c:pt idx="502">
                  <c:v>8.6</c:v>
                </c:pt>
                <c:pt idx="503">
                  <c:v>8.5</c:v>
                </c:pt>
                <c:pt idx="504">
                  <c:v>8.3000000000000007</c:v>
                </c:pt>
                <c:pt idx="505">
                  <c:v>8.3000000000000007</c:v>
                </c:pt>
                <c:pt idx="506">
                  <c:v>8.1999999999999993</c:v>
                </c:pt>
                <c:pt idx="507">
                  <c:v>8.1999999999999993</c:v>
                </c:pt>
                <c:pt idx="508">
                  <c:v>8.1999999999999993</c:v>
                </c:pt>
                <c:pt idx="509">
                  <c:v>8.1999999999999993</c:v>
                </c:pt>
                <c:pt idx="510">
                  <c:v>8.1999999999999993</c:v>
                </c:pt>
                <c:pt idx="511">
                  <c:v>8</c:v>
                </c:pt>
                <c:pt idx="512">
                  <c:v>7.8</c:v>
                </c:pt>
                <c:pt idx="513">
                  <c:v>7.8</c:v>
                </c:pt>
                <c:pt idx="514">
                  <c:v>7.7</c:v>
                </c:pt>
                <c:pt idx="515">
                  <c:v>7.9</c:v>
                </c:pt>
                <c:pt idx="516">
                  <c:v>8</c:v>
                </c:pt>
                <c:pt idx="517">
                  <c:v>7.7</c:v>
                </c:pt>
                <c:pt idx="518">
                  <c:v>7.5</c:v>
                </c:pt>
                <c:pt idx="519">
                  <c:v>7.6</c:v>
                </c:pt>
                <c:pt idx="520">
                  <c:v>7.5</c:v>
                </c:pt>
                <c:pt idx="521">
                  <c:v>7.5</c:v>
                </c:pt>
                <c:pt idx="522">
                  <c:v>7.3</c:v>
                </c:pt>
                <c:pt idx="523">
                  <c:v>7.2</c:v>
                </c:pt>
                <c:pt idx="524">
                  <c:v>7.2</c:v>
                </c:pt>
                <c:pt idx="525">
                  <c:v>7.2</c:v>
                </c:pt>
                <c:pt idx="526">
                  <c:v>7</c:v>
                </c:pt>
                <c:pt idx="527">
                  <c:v>6.7</c:v>
                </c:pt>
                <c:pt idx="528">
                  <c:v>6.6</c:v>
                </c:pt>
                <c:pt idx="529">
                  <c:v>6.7</c:v>
                </c:pt>
                <c:pt idx="530">
                  <c:v>6.6</c:v>
                </c:pt>
                <c:pt idx="531">
                  <c:v>6.2</c:v>
                </c:pt>
                <c:pt idx="532">
                  <c:v>6.3</c:v>
                </c:pt>
                <c:pt idx="533">
                  <c:v>6.1</c:v>
                </c:pt>
                <c:pt idx="534">
                  <c:v>6.2</c:v>
                </c:pt>
                <c:pt idx="535">
                  <c:v>6.1</c:v>
                </c:pt>
                <c:pt idx="536">
                  <c:v>5.9</c:v>
                </c:pt>
                <c:pt idx="537">
                  <c:v>5.7</c:v>
                </c:pt>
                <c:pt idx="538">
                  <c:v>5.8</c:v>
                </c:pt>
                <c:pt idx="539">
                  <c:v>5.6</c:v>
                </c:pt>
                <c:pt idx="540">
                  <c:v>5.7</c:v>
                </c:pt>
                <c:pt idx="541">
                  <c:v>5.5</c:v>
                </c:pt>
                <c:pt idx="542">
                  <c:v>5.5</c:v>
                </c:pt>
                <c:pt idx="543">
                  <c:v>5.4</c:v>
                </c:pt>
                <c:pt idx="544">
                  <c:v>5.5</c:v>
                </c:pt>
                <c:pt idx="545">
                  <c:v>5.3</c:v>
                </c:pt>
                <c:pt idx="546">
                  <c:v>5.3</c:v>
                </c:pt>
                <c:pt idx="547">
                  <c:v>5.0999999999999996</c:v>
                </c:pt>
              </c:numCache>
            </c:numRef>
          </c:val>
          <c:smooth val="0"/>
        </c:ser>
        <c:dLbls>
          <c:showLegendKey val="0"/>
          <c:showVal val="0"/>
          <c:showCatName val="0"/>
          <c:showSerName val="0"/>
          <c:showPercent val="0"/>
          <c:showBubbleSize val="0"/>
        </c:dLbls>
        <c:smooth val="0"/>
        <c:axId val="349051704"/>
        <c:axId val="315362464"/>
      </c:lineChart>
      <c:catAx>
        <c:axId val="34905170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15362464"/>
        <c:crosses val="autoZero"/>
        <c:auto val="0"/>
        <c:lblAlgn val="ctr"/>
        <c:lblOffset val="100"/>
        <c:tickLblSkip val="36"/>
        <c:tickMarkSkip val="12"/>
        <c:noMultiLvlLbl val="0"/>
      </c:catAx>
      <c:valAx>
        <c:axId val="31536246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905170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800" b="1" i="0" u="none" strike="noStrike" kern="1200" cap="all" spc="150" baseline="0">
                <a:solidFill>
                  <a:schemeClr val="tx1">
                    <a:lumMod val="50000"/>
                    <a:lumOff val="50000"/>
                  </a:schemeClr>
                </a:solidFill>
                <a:latin typeface="+mn-lt"/>
                <a:ea typeface="+mn-ea"/>
                <a:cs typeface="+mn-cs"/>
              </a:defRPr>
            </a:pPr>
            <a:r>
              <a:rPr lang="en-US" sz="1400" b="0" i="0" cap="none" baseline="0">
                <a:solidFill>
                  <a:schemeClr val="tx1"/>
                </a:solidFill>
                <a:latin typeface="Garamond" panose="02020404030301010803" pitchFamily="18" charset="0"/>
                <a:cs typeface="Times New Roman" panose="02020603050405020304" pitchFamily="18" charset="0"/>
              </a:rPr>
              <a:t>Graph XXX: Words to Read per Day in Congress - Crisis Averages</a:t>
            </a:r>
          </a:p>
        </c:rich>
      </c:tx>
      <c:layout>
        <c:manualLayout>
          <c:xMode val="edge"/>
          <c:yMode val="edge"/>
          <c:x val="0.14279197953476419"/>
          <c:y val="4.112264140184603E-2"/>
        </c:manualLayout>
      </c:layout>
      <c:overlay val="0"/>
      <c:spPr>
        <a:noFill/>
        <a:ln>
          <a:noFill/>
        </a:ln>
        <a:effectLst/>
      </c:spPr>
      <c:txPr>
        <a:bodyPr rot="0" spcFirstLastPara="1" vertOverflow="ellipsis" vert="horz" wrap="square" anchor="ctr" anchorCtr="1"/>
        <a:lstStyle/>
        <a:p>
          <a:pPr algn="ctr">
            <a:defRPr sz="1800" b="1" i="0" u="none" strike="noStrike" kern="1200" cap="all" spc="150" baseline="0">
              <a:solidFill>
                <a:schemeClr val="tx1">
                  <a:lumMod val="50000"/>
                  <a:lumOff val="50000"/>
                </a:schemeClr>
              </a:solidFill>
              <a:latin typeface="+mn-lt"/>
              <a:ea typeface="+mn-ea"/>
              <a:cs typeface="+mn-cs"/>
            </a:defRPr>
          </a:pPr>
          <a:endParaRPr lang="en-US"/>
        </a:p>
      </c:txPr>
    </c:title>
    <c:autoTitleDeleted val="0"/>
    <c:plotArea>
      <c:layout>
        <c:manualLayout>
          <c:layoutTarget val="inner"/>
          <c:xMode val="edge"/>
          <c:yMode val="edge"/>
          <c:x val="7.9636889500954267E-2"/>
          <c:y val="0.25303505889661176"/>
          <c:w val="0.89388898795891714"/>
          <c:h val="0.59282949935699747"/>
        </c:manualLayout>
      </c:layout>
      <c:barChart>
        <c:barDir val="col"/>
        <c:grouping val="clustered"/>
        <c:varyColors val="0"/>
        <c:ser>
          <c:idx val="0"/>
          <c:order val="0"/>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Pt>
            <c:idx val="0"/>
            <c:invertIfNegative val="0"/>
            <c:bubble3D val="0"/>
          </c:dPt>
          <c:dPt>
            <c:idx val="1"/>
            <c:invertIfNegative val="0"/>
            <c:bubble3D val="0"/>
          </c:dPt>
          <c:dPt>
            <c:idx val="2"/>
            <c:invertIfNegative val="0"/>
            <c:bubble3D val="0"/>
          </c:dPt>
          <c:dPt>
            <c:idx val="4"/>
            <c:invertIfNegative val="0"/>
            <c:bubble3D val="0"/>
          </c:dPt>
          <c:dPt>
            <c:idx val="5"/>
            <c:invertIfNegative val="0"/>
            <c:bubble3D val="0"/>
          </c:dPt>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Crises!$A$3:$A$9</c:f>
              <c:strCache>
                <c:ptCount val="7"/>
                <c:pt idx="0">
                  <c:v>All laws</c:v>
                </c:pt>
                <c:pt idx="1">
                  <c:v>Comparison laws</c:v>
                </c:pt>
                <c:pt idx="2">
                  <c:v>Great Recession</c:v>
                </c:pt>
                <c:pt idx="3">
                  <c:v>Dot-Com</c:v>
                </c:pt>
                <c:pt idx="4">
                  <c:v>Early 1990s</c:v>
                </c:pt>
                <c:pt idx="5">
                  <c:v>Early 1980s</c:v>
                </c:pt>
                <c:pt idx="6">
                  <c:v>Mid 1970s</c:v>
                </c:pt>
              </c:strCache>
            </c:strRef>
          </c:cat>
          <c:val>
            <c:numRef>
              <c:f>Crises!$B$3:$B$9</c:f>
              <c:numCache>
                <c:formatCode>0</c:formatCode>
                <c:ptCount val="7"/>
                <c:pt idx="0">
                  <c:v>24</c:v>
                </c:pt>
                <c:pt idx="1">
                  <c:v>90.74</c:v>
                </c:pt>
                <c:pt idx="2">
                  <c:v>1121</c:v>
                </c:pt>
                <c:pt idx="3">
                  <c:v>146.19</c:v>
                </c:pt>
                <c:pt idx="4">
                  <c:v>230.6</c:v>
                </c:pt>
                <c:pt idx="5">
                  <c:v>335.32</c:v>
                </c:pt>
                <c:pt idx="6">
                  <c:v>176.28</c:v>
                </c:pt>
              </c:numCache>
            </c:numRef>
          </c:val>
        </c:ser>
        <c:dLbls>
          <c:dLblPos val="outEnd"/>
          <c:showLegendKey val="0"/>
          <c:showVal val="1"/>
          <c:showCatName val="0"/>
          <c:showSerName val="0"/>
          <c:showPercent val="0"/>
          <c:showBubbleSize val="0"/>
        </c:dLbls>
        <c:gapWidth val="164"/>
        <c:overlap val="-22"/>
        <c:axId val="315358936"/>
        <c:axId val="315360504"/>
      </c:barChart>
      <c:catAx>
        <c:axId val="315358936"/>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315360504"/>
        <c:crosses val="autoZero"/>
        <c:auto val="1"/>
        <c:lblAlgn val="ctr"/>
        <c:lblOffset val="100"/>
        <c:noMultiLvlLbl val="0"/>
      </c:catAx>
      <c:valAx>
        <c:axId val="315360504"/>
        <c:scaling>
          <c:orientation val="minMax"/>
          <c:max val="1200"/>
          <c:min val="0"/>
        </c:scaling>
        <c:delete val="0"/>
        <c:axPos val="l"/>
        <c:numFmt formatCode="0" sourceLinked="1"/>
        <c:majorTickMark val="none"/>
        <c:minorTickMark val="none"/>
        <c:tickLblPos val="nextTo"/>
        <c:spPr>
          <a:noFill/>
          <a:ln>
            <a:solidFill>
              <a:schemeClr val="accent1"/>
            </a:solid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315358936"/>
        <c:crosses val="autoZero"/>
        <c:crossBetween val="between"/>
        <c:majorUnit val="100"/>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800" b="1" i="0" u="none" strike="noStrike" kern="1200" cap="all" spc="150" baseline="0">
                <a:solidFill>
                  <a:schemeClr val="tx1">
                    <a:lumMod val="50000"/>
                    <a:lumOff val="50000"/>
                  </a:schemeClr>
                </a:solidFill>
                <a:latin typeface="+mn-lt"/>
                <a:ea typeface="+mn-ea"/>
                <a:cs typeface="+mn-cs"/>
              </a:defRPr>
            </a:pPr>
            <a:r>
              <a:rPr lang="en-US" b="0" i="0" cap="none" baseline="0">
                <a:solidFill>
                  <a:schemeClr val="tx1"/>
                </a:solidFill>
                <a:latin typeface="Times New Roman" panose="02020603050405020304" pitchFamily="18" charset="0"/>
                <a:cs typeface="Times New Roman" panose="02020603050405020304" pitchFamily="18" charset="0"/>
              </a:rPr>
              <a:t>Graph XXX: Words to Read per Day in Congress: Individual Laws</a:t>
            </a:r>
          </a:p>
        </c:rich>
      </c:tx>
      <c:layout>
        <c:manualLayout>
          <c:xMode val="edge"/>
          <c:yMode val="edge"/>
          <c:x val="0.14279197953476419"/>
          <c:y val="4.112264140184603E-2"/>
        </c:manualLayout>
      </c:layout>
      <c:overlay val="0"/>
      <c:spPr>
        <a:noFill/>
        <a:ln>
          <a:noFill/>
        </a:ln>
        <a:effectLst/>
      </c:spPr>
      <c:txPr>
        <a:bodyPr rot="0" spcFirstLastPara="1" vertOverflow="ellipsis" vert="horz" wrap="square" anchor="ctr" anchorCtr="1"/>
        <a:lstStyle/>
        <a:p>
          <a:pPr algn="ctr">
            <a:defRPr sz="1800" b="1" i="0" u="none" strike="noStrike" kern="1200" cap="all" spc="150" baseline="0">
              <a:solidFill>
                <a:schemeClr val="tx1">
                  <a:lumMod val="50000"/>
                  <a:lumOff val="50000"/>
                </a:schemeClr>
              </a:solidFill>
              <a:latin typeface="+mn-lt"/>
              <a:ea typeface="+mn-ea"/>
              <a:cs typeface="+mn-cs"/>
            </a:defRPr>
          </a:pPr>
          <a:endParaRPr lang="en-US"/>
        </a:p>
      </c:txPr>
    </c:title>
    <c:autoTitleDeleted val="0"/>
    <c:plotArea>
      <c:layout>
        <c:manualLayout>
          <c:layoutTarget val="inner"/>
          <c:xMode val="edge"/>
          <c:yMode val="edge"/>
          <c:x val="8.4450366326432172E-2"/>
          <c:y val="0.25303505889661176"/>
          <c:w val="0.89388898795891714"/>
          <c:h val="0.59282949935699747"/>
        </c:manualLayout>
      </c:layout>
      <c:barChart>
        <c:barDir val="col"/>
        <c:grouping val="clustered"/>
        <c:varyColors val="0"/>
        <c:ser>
          <c:idx val="0"/>
          <c:order val="0"/>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Pt>
            <c:idx val="1"/>
            <c:invertIfNegative val="0"/>
            <c:bubble3D val="0"/>
          </c:dPt>
          <c:dPt>
            <c:idx val="2"/>
            <c:invertIfNegative val="0"/>
            <c:bubble3D val="0"/>
          </c:dPt>
          <c:dPt>
            <c:idx val="3"/>
            <c:invertIfNegative val="0"/>
            <c:bubble3D val="0"/>
          </c:dPt>
          <c:dPt>
            <c:idx val="5"/>
            <c:invertIfNegative val="0"/>
            <c:bubble3D val="0"/>
          </c:dPt>
          <c:dPt>
            <c:idx val="6"/>
            <c:invertIfNegative val="0"/>
            <c:bubble3D val="0"/>
          </c:dPt>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Garamond" panose="02020404030301010803" pitchFamily="18" charset="0"/>
                    <a:ea typeface="+mn-ea"/>
                    <a:cs typeface="+mn-cs"/>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'indi laws'!$A$2:$A$8</c:f>
              <c:strCache>
                <c:ptCount val="7"/>
                <c:pt idx="0">
                  <c:v>All laws</c:v>
                </c:pt>
                <c:pt idx="1">
                  <c:v>Comparison laws</c:v>
                </c:pt>
                <c:pt idx="2">
                  <c:v>TRA 1975</c:v>
                </c:pt>
                <c:pt idx="3">
                  <c:v>ERT of 1981</c:v>
                </c:pt>
                <c:pt idx="4">
                  <c:v>FDICI of 1991</c:v>
                </c:pt>
                <c:pt idx="5">
                  <c:v>JCWAA</c:v>
                </c:pt>
                <c:pt idx="6">
                  <c:v>ARRA</c:v>
                </c:pt>
              </c:strCache>
            </c:strRef>
          </c:cat>
          <c:val>
            <c:numRef>
              <c:f>'indi laws'!$B$2:$B$8</c:f>
              <c:numCache>
                <c:formatCode>0</c:formatCode>
                <c:ptCount val="7"/>
                <c:pt idx="0">
                  <c:v>24</c:v>
                </c:pt>
                <c:pt idx="1">
                  <c:v>90.74</c:v>
                </c:pt>
                <c:pt idx="2">
                  <c:v>483.66</c:v>
                </c:pt>
                <c:pt idx="3" formatCode="General">
                  <c:v>3923</c:v>
                </c:pt>
                <c:pt idx="4">
                  <c:v>252</c:v>
                </c:pt>
                <c:pt idx="5">
                  <c:v>192.76</c:v>
                </c:pt>
                <c:pt idx="6">
                  <c:v>7523.13</c:v>
                </c:pt>
              </c:numCache>
            </c:numRef>
          </c:val>
        </c:ser>
        <c:dLbls>
          <c:dLblPos val="outEnd"/>
          <c:showLegendKey val="0"/>
          <c:showVal val="1"/>
          <c:showCatName val="0"/>
          <c:showSerName val="0"/>
          <c:showPercent val="0"/>
          <c:showBubbleSize val="0"/>
        </c:dLbls>
        <c:gapWidth val="164"/>
        <c:overlap val="-22"/>
        <c:axId val="315359720"/>
        <c:axId val="315360896"/>
      </c:barChart>
      <c:catAx>
        <c:axId val="315359720"/>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315360896"/>
        <c:crosses val="autoZero"/>
        <c:auto val="1"/>
        <c:lblAlgn val="ctr"/>
        <c:lblOffset val="100"/>
        <c:noMultiLvlLbl val="0"/>
      </c:catAx>
      <c:valAx>
        <c:axId val="315360896"/>
        <c:scaling>
          <c:orientation val="minMax"/>
          <c:max val="1200"/>
          <c:min val="0"/>
        </c:scaling>
        <c:delete val="0"/>
        <c:axPos val="l"/>
        <c:majorGridlines>
          <c:spPr>
            <a:ln>
              <a:solidFill>
                <a:schemeClr val="tx1">
                  <a:lumMod val="15000"/>
                  <a:lumOff val="85000"/>
                </a:schemeClr>
              </a:solidFill>
            </a:ln>
            <a:effectLst/>
          </c:spPr>
        </c:majorGridlines>
        <c:numFmt formatCode="0" sourceLinked="1"/>
        <c:majorTickMark val="none"/>
        <c:minorTickMark val="none"/>
        <c:tickLblPos val="nextTo"/>
        <c:spPr>
          <a:noFill/>
          <a:ln>
            <a:solidFill>
              <a:schemeClr val="accent1"/>
            </a:solid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31535972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withinLinear" id="16">
  <a:schemeClr val="accent3"/>
</cs:colorStyle>
</file>

<file path=word/charts/colors4.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2">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9525" cap="rnd">
        <a:solidFill>
          <a:schemeClr val="phClr"/>
        </a:solidFill>
        <a:round/>
      </a:ln>
    </cs:spPr>
  </cs:dataPointLine>
  <cs:dataPointMarker>
    <cs:lnRef idx="0">
      <cs:styleClr val="auto"/>
    </cs:lnRef>
    <cs:fillRef idx="3">
      <cs:styleClr val="auto"/>
    </cs:fillRef>
    <cs:effectRef idx="2"/>
    <cs:fontRef idx="minor">
      <a:schemeClr val="tx2"/>
    </cs:fontRef>
    <cs:spPr>
      <a:ln w="9525">
        <a:solidFill>
          <a:schemeClr val="phClr"/>
        </a:solidFill>
        <a:round/>
      </a:ln>
    </cs:spPr>
  </cs:dataPointMarker>
  <cs:dataPointMarkerLayout symbol="circle" size="5"/>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9525" cap="rnd">
        <a:solidFill>
          <a:schemeClr val="phClr"/>
        </a:solidFill>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spPr>
      <a:ln>
        <a:solidFill>
          <a:schemeClr val="tx2">
            <a:lumMod val="40000"/>
            <a:lumOff val="60000"/>
          </a:schemeClr>
        </a:solidFill>
      </a:ln>
    </cs:spPr>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4.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F30998B-ECDA-46A7-8B89-A31207DD81A0}">
  <we:reference id="wa102920437" version="1.3.1.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F740EE-3FEC-4D20-AE8B-6486F50E8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11</Pages>
  <Words>1427</Words>
  <Characters>8139</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wvl</dc:creator>
  <cp:keywords/>
  <dc:description/>
  <cp:lastModifiedBy>wvl</cp:lastModifiedBy>
  <cp:revision>105</cp:revision>
  <cp:lastPrinted>2015-10-27T10:57:00Z</cp:lastPrinted>
  <dcterms:created xsi:type="dcterms:W3CDTF">2015-09-28T14:36:00Z</dcterms:created>
  <dcterms:modified xsi:type="dcterms:W3CDTF">2016-03-07T14:09:00Z</dcterms:modified>
</cp:coreProperties>
</file>